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291310" w14:textId="53642D3E" w:rsidR="00673612" w:rsidRPr="00673612" w:rsidRDefault="00673612" w:rsidP="008C4BB1">
      <w:pPr>
        <w:pStyle w:val="Intestazione"/>
        <w:tabs>
          <w:tab w:val="clear" w:pos="4819"/>
          <w:tab w:val="clear" w:pos="9638"/>
        </w:tabs>
        <w:contextualSpacing/>
        <w:jc w:val="both"/>
        <w:rPr>
          <w:rFonts w:ascii="Century Gothic" w:hAnsi="Century Gothic"/>
          <w:b/>
          <w:i/>
          <w:color w:val="0070C0"/>
          <w:sz w:val="20"/>
        </w:rPr>
      </w:pPr>
      <w:r w:rsidRPr="00673612">
        <w:rPr>
          <w:rFonts w:ascii="Century Gothic" w:hAnsi="Century Gothic"/>
          <w:b/>
          <w:i/>
          <w:color w:val="0070C0"/>
          <w:sz w:val="20"/>
        </w:rPr>
        <w:t>Premessa</w:t>
      </w:r>
    </w:p>
    <w:p w14:paraId="03DBA532" w14:textId="5F9E90E1" w:rsidR="00673612" w:rsidRDefault="00673612" w:rsidP="008C4BB1">
      <w:pPr>
        <w:pStyle w:val="Intestazione"/>
        <w:tabs>
          <w:tab w:val="clear" w:pos="4819"/>
          <w:tab w:val="clear" w:pos="9638"/>
        </w:tabs>
        <w:contextualSpacing/>
        <w:jc w:val="both"/>
        <w:rPr>
          <w:rFonts w:ascii="Century Gothic" w:hAnsi="Century Gothic"/>
          <w:sz w:val="20"/>
        </w:rPr>
      </w:pPr>
      <w:r w:rsidRPr="00673612">
        <w:rPr>
          <w:rFonts w:ascii="Century Gothic" w:hAnsi="Century Gothic"/>
          <w:sz w:val="20"/>
        </w:rPr>
        <w:t>Un programma sorgente è formato da un insieme ordinato di istruzioni (o comandi), che in Java possono essere:</w:t>
      </w:r>
    </w:p>
    <w:p w14:paraId="6128DE81" w14:textId="1FCBEA9B" w:rsidR="00673612" w:rsidRDefault="00673612" w:rsidP="008C4BB1">
      <w:pPr>
        <w:pStyle w:val="Intestazione"/>
        <w:numPr>
          <w:ilvl w:val="0"/>
          <w:numId w:val="23"/>
        </w:numPr>
        <w:tabs>
          <w:tab w:val="clear" w:pos="4819"/>
          <w:tab w:val="clear" w:pos="9638"/>
        </w:tabs>
        <w:ind w:left="709"/>
        <w:contextualSpacing/>
        <w:jc w:val="both"/>
        <w:rPr>
          <w:rFonts w:ascii="Century Gothic" w:hAnsi="Century Gothic"/>
          <w:sz w:val="20"/>
        </w:rPr>
      </w:pPr>
      <w:r>
        <w:rPr>
          <w:rFonts w:ascii="Century Gothic" w:hAnsi="Century Gothic"/>
          <w:sz w:val="20"/>
        </w:rPr>
        <w:t xml:space="preserve">di </w:t>
      </w:r>
      <w:r w:rsidRPr="00673612">
        <w:rPr>
          <w:rFonts w:ascii="Century Gothic" w:hAnsi="Century Gothic"/>
          <w:sz w:val="20"/>
          <w:u w:val="single"/>
        </w:rPr>
        <w:t>dichiarazione</w:t>
      </w:r>
      <w:r>
        <w:rPr>
          <w:rFonts w:ascii="Century Gothic" w:hAnsi="Century Gothic"/>
          <w:sz w:val="20"/>
        </w:rPr>
        <w:t>, quando definiscono le strutture di dati che traducono il modello dei dati del problema creato in fase di progettazione;</w:t>
      </w:r>
    </w:p>
    <w:p w14:paraId="6CF3FE9E" w14:textId="00CE543F" w:rsidR="00673612" w:rsidRPr="00673612" w:rsidRDefault="00673612" w:rsidP="008C4BB1">
      <w:pPr>
        <w:pStyle w:val="Intestazione"/>
        <w:numPr>
          <w:ilvl w:val="0"/>
          <w:numId w:val="23"/>
        </w:numPr>
        <w:tabs>
          <w:tab w:val="clear" w:pos="4819"/>
          <w:tab w:val="clear" w:pos="9638"/>
        </w:tabs>
        <w:ind w:left="709"/>
        <w:contextualSpacing/>
        <w:jc w:val="both"/>
        <w:rPr>
          <w:rFonts w:ascii="Century Gothic" w:hAnsi="Century Gothic"/>
          <w:sz w:val="20"/>
        </w:rPr>
      </w:pPr>
      <w:r w:rsidRPr="00673612">
        <w:rPr>
          <w:rFonts w:ascii="Century Gothic" w:hAnsi="Century Gothic"/>
          <w:sz w:val="20"/>
          <w:u w:val="single"/>
        </w:rPr>
        <w:t>eseguibili</w:t>
      </w:r>
      <w:r>
        <w:rPr>
          <w:rFonts w:ascii="Century Gothic" w:hAnsi="Century Gothic"/>
          <w:sz w:val="20"/>
        </w:rPr>
        <w:t>, quando codificano nel programma sorgente le operazioni, descritte nell’algoritmo del progetto, necessarie per passare dai dati in ingresso ai risultati.</w:t>
      </w:r>
    </w:p>
    <w:p w14:paraId="7946DD2D" w14:textId="77777777" w:rsidR="00673612" w:rsidRPr="00673612" w:rsidRDefault="00673612" w:rsidP="008C4BB1">
      <w:pPr>
        <w:pStyle w:val="Intestazione"/>
        <w:tabs>
          <w:tab w:val="clear" w:pos="4819"/>
          <w:tab w:val="clear" w:pos="9638"/>
        </w:tabs>
        <w:contextualSpacing/>
        <w:jc w:val="both"/>
        <w:rPr>
          <w:rFonts w:ascii="Century Gothic" w:hAnsi="Century Gothic"/>
          <w:sz w:val="20"/>
        </w:rPr>
      </w:pPr>
    </w:p>
    <w:p w14:paraId="40AE0DE2" w14:textId="5CBE289E" w:rsidR="00380B20" w:rsidRPr="00140867" w:rsidRDefault="00140867" w:rsidP="008C4BB1">
      <w:pPr>
        <w:pStyle w:val="Intestazione"/>
        <w:tabs>
          <w:tab w:val="clear" w:pos="4819"/>
          <w:tab w:val="clear" w:pos="9638"/>
        </w:tabs>
        <w:contextualSpacing/>
        <w:jc w:val="both"/>
        <w:rPr>
          <w:rFonts w:ascii="Century Gothic" w:hAnsi="Century Gothic"/>
          <w:i/>
          <w:color w:val="0070C0"/>
          <w:sz w:val="20"/>
        </w:rPr>
      </w:pPr>
      <w:r w:rsidRPr="00140867">
        <w:rPr>
          <w:rFonts w:ascii="Century Gothic" w:hAnsi="Century Gothic"/>
          <w:i/>
          <w:color w:val="0070C0"/>
          <w:sz w:val="20"/>
        </w:rPr>
        <w:t>Regole di valutazione di un’espressione</w:t>
      </w:r>
    </w:p>
    <w:p w14:paraId="66EAAFD5" w14:textId="1A41EF91" w:rsidR="00380B20" w:rsidRDefault="00D5311F" w:rsidP="008C4BB1">
      <w:pPr>
        <w:spacing w:after="0" w:line="240" w:lineRule="auto"/>
        <w:contextualSpacing/>
        <w:jc w:val="both"/>
        <w:rPr>
          <w:rFonts w:ascii="Century Gothic" w:hAnsi="Century Gothic"/>
          <w:sz w:val="20"/>
        </w:rPr>
      </w:pPr>
      <w:r>
        <w:rPr>
          <w:rFonts w:ascii="Century Gothic" w:hAnsi="Century Gothic"/>
          <w:sz w:val="20"/>
        </w:rPr>
        <w:t>Le espressioni che incontriamo negli algoritmi sono spesso formate da combinazioni complesse di operandi e di operatori. Le regole di valutazione permettono di assegnare a una espressione un valore unico, stabilendo l’ordine con cui devono essere applicati gli operatori agli operandi, che in Java avviene sulla base dei seguenti criteri.</w:t>
      </w:r>
    </w:p>
    <w:p w14:paraId="6E903EC0" w14:textId="77777777" w:rsidR="00D5311F" w:rsidRPr="008C4BB1" w:rsidRDefault="00D5311F" w:rsidP="008C4BB1">
      <w:pPr>
        <w:spacing w:after="0" w:line="240" w:lineRule="auto"/>
        <w:contextualSpacing/>
        <w:jc w:val="both"/>
        <w:rPr>
          <w:rFonts w:ascii="Century Gothic" w:hAnsi="Century Gothic"/>
          <w:sz w:val="10"/>
        </w:rPr>
      </w:pPr>
    </w:p>
    <w:tbl>
      <w:tblPr>
        <w:tblStyle w:val="Grigliatabell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shd w:val="clear" w:color="auto" w:fill="FFC891"/>
        <w:tblCellMar>
          <w:top w:w="28" w:type="dxa"/>
          <w:left w:w="57" w:type="dxa"/>
          <w:bottom w:w="28" w:type="dxa"/>
          <w:right w:w="57" w:type="dxa"/>
        </w:tblCellMar>
        <w:tblLook w:val="04A0" w:firstRow="1" w:lastRow="0" w:firstColumn="1" w:lastColumn="0" w:noHBand="0" w:noVBand="1"/>
      </w:tblPr>
      <w:tblGrid>
        <w:gridCol w:w="5273"/>
        <w:gridCol w:w="5273"/>
      </w:tblGrid>
      <w:tr w:rsidR="00D5311F" w:rsidRPr="00701455" w14:paraId="03E1C17F" w14:textId="77777777" w:rsidTr="00701455">
        <w:trPr>
          <w:jc w:val="center"/>
        </w:trPr>
        <w:tc>
          <w:tcPr>
            <w:tcW w:w="5273" w:type="dxa"/>
            <w:shd w:val="clear" w:color="auto" w:fill="FFC891"/>
            <w:tcMar>
              <w:top w:w="28" w:type="dxa"/>
              <w:left w:w="113" w:type="dxa"/>
              <w:bottom w:w="28" w:type="dxa"/>
              <w:right w:w="113" w:type="dxa"/>
            </w:tcMar>
          </w:tcPr>
          <w:p w14:paraId="0E59D7E7" w14:textId="7E8595E1" w:rsidR="00D5311F" w:rsidRPr="00701455" w:rsidRDefault="00D5311F" w:rsidP="008C4BB1">
            <w:pPr>
              <w:pStyle w:val="Paragrafoelenco"/>
              <w:numPr>
                <w:ilvl w:val="0"/>
                <w:numId w:val="3"/>
              </w:numPr>
              <w:jc w:val="both"/>
              <w:rPr>
                <w:rFonts w:ascii="Corbel" w:hAnsi="Corbel"/>
                <w:b/>
                <w:sz w:val="20"/>
              </w:rPr>
            </w:pPr>
            <w:r w:rsidRPr="00701455">
              <w:rPr>
                <w:rFonts w:ascii="Corbel" w:hAnsi="Corbel"/>
                <w:b/>
                <w:sz w:val="20"/>
              </w:rPr>
              <w:t>L’impiego delle parentesi tonde</w:t>
            </w:r>
          </w:p>
        </w:tc>
        <w:tc>
          <w:tcPr>
            <w:tcW w:w="5273" w:type="dxa"/>
            <w:shd w:val="clear" w:color="auto" w:fill="FFC891"/>
            <w:tcMar>
              <w:top w:w="28" w:type="dxa"/>
              <w:left w:w="113" w:type="dxa"/>
              <w:bottom w:w="28" w:type="dxa"/>
              <w:right w:w="113" w:type="dxa"/>
            </w:tcMar>
          </w:tcPr>
          <w:p w14:paraId="27BC7503" w14:textId="79FC70AB" w:rsidR="00D5311F" w:rsidRPr="00701455" w:rsidRDefault="00D5311F" w:rsidP="008C4BB1">
            <w:pPr>
              <w:contextualSpacing/>
              <w:jc w:val="both"/>
              <w:rPr>
                <w:rFonts w:ascii="Corbel" w:hAnsi="Corbel"/>
                <w:sz w:val="20"/>
              </w:rPr>
            </w:pPr>
            <w:r w:rsidRPr="00701455">
              <w:rPr>
                <w:rFonts w:ascii="Corbel" w:hAnsi="Corbel"/>
                <w:sz w:val="20"/>
              </w:rPr>
              <w:t>L’impiego delle parentesi tonde impone al compilatore di eseguire per prime le espressioni racchiuse nelle coppie di simboli ().</w:t>
            </w:r>
          </w:p>
        </w:tc>
      </w:tr>
      <w:tr w:rsidR="00D5311F" w:rsidRPr="00701455" w14:paraId="12262F98" w14:textId="77777777" w:rsidTr="00701455">
        <w:trPr>
          <w:jc w:val="center"/>
        </w:trPr>
        <w:tc>
          <w:tcPr>
            <w:tcW w:w="5273" w:type="dxa"/>
            <w:shd w:val="clear" w:color="auto" w:fill="FFC891"/>
            <w:tcMar>
              <w:top w:w="28" w:type="dxa"/>
              <w:left w:w="113" w:type="dxa"/>
              <w:bottom w:w="28" w:type="dxa"/>
              <w:right w:w="113" w:type="dxa"/>
            </w:tcMar>
          </w:tcPr>
          <w:p w14:paraId="06C8CA9B" w14:textId="2F621B58" w:rsidR="00D5311F" w:rsidRPr="00701455" w:rsidRDefault="00D5311F" w:rsidP="008C4BB1">
            <w:pPr>
              <w:pStyle w:val="Paragrafoelenco"/>
              <w:numPr>
                <w:ilvl w:val="0"/>
                <w:numId w:val="3"/>
              </w:numPr>
              <w:jc w:val="both"/>
              <w:rPr>
                <w:rFonts w:ascii="Corbel" w:hAnsi="Corbel"/>
                <w:b/>
                <w:sz w:val="20"/>
              </w:rPr>
            </w:pPr>
            <w:r w:rsidRPr="00701455">
              <w:rPr>
                <w:rFonts w:ascii="Corbel" w:hAnsi="Corbel"/>
                <w:b/>
                <w:sz w:val="20"/>
              </w:rPr>
              <w:t>Il livello (o ordine) di precedenza</w:t>
            </w:r>
          </w:p>
        </w:tc>
        <w:tc>
          <w:tcPr>
            <w:tcW w:w="5273" w:type="dxa"/>
            <w:shd w:val="clear" w:color="auto" w:fill="FFC891"/>
            <w:tcMar>
              <w:top w:w="28" w:type="dxa"/>
              <w:left w:w="113" w:type="dxa"/>
              <w:bottom w:w="28" w:type="dxa"/>
              <w:right w:w="113" w:type="dxa"/>
            </w:tcMar>
          </w:tcPr>
          <w:p w14:paraId="601148E4" w14:textId="537C776C" w:rsidR="00D5311F" w:rsidRPr="00701455" w:rsidRDefault="00D5311F" w:rsidP="008C4BB1">
            <w:pPr>
              <w:contextualSpacing/>
              <w:jc w:val="both"/>
              <w:rPr>
                <w:rFonts w:ascii="Corbel" w:hAnsi="Corbel"/>
                <w:sz w:val="20"/>
              </w:rPr>
            </w:pPr>
            <w:r w:rsidRPr="00701455">
              <w:rPr>
                <w:rFonts w:ascii="Corbel" w:hAnsi="Corbel"/>
                <w:sz w:val="20"/>
              </w:rPr>
              <w:t>Il linguaggio suddivide l’insieme di tutti gli operatori in gruppi ai quali assegna il medesimo livello di precedenza (mostrato nella tabella che segue). Se in un’espressione compaiono operatori con livelli di precedenza diversi, viene valutato per primo quello che ha una precedenza maggiore.</w:t>
            </w:r>
          </w:p>
        </w:tc>
      </w:tr>
      <w:tr w:rsidR="00D5311F" w:rsidRPr="00701455" w14:paraId="5962EAD9" w14:textId="77777777" w:rsidTr="00701455">
        <w:trPr>
          <w:jc w:val="center"/>
        </w:trPr>
        <w:tc>
          <w:tcPr>
            <w:tcW w:w="5273" w:type="dxa"/>
            <w:shd w:val="clear" w:color="auto" w:fill="FFC891"/>
            <w:tcMar>
              <w:top w:w="28" w:type="dxa"/>
              <w:left w:w="113" w:type="dxa"/>
              <w:bottom w:w="28" w:type="dxa"/>
              <w:right w:w="113" w:type="dxa"/>
            </w:tcMar>
          </w:tcPr>
          <w:p w14:paraId="5DFC88BF" w14:textId="3E2ED3E0" w:rsidR="00D5311F" w:rsidRPr="00701455" w:rsidRDefault="00D5311F" w:rsidP="008C4BB1">
            <w:pPr>
              <w:pStyle w:val="Paragrafoelenco"/>
              <w:numPr>
                <w:ilvl w:val="0"/>
                <w:numId w:val="3"/>
              </w:numPr>
              <w:jc w:val="both"/>
              <w:rPr>
                <w:rFonts w:ascii="Corbel" w:hAnsi="Corbel"/>
                <w:b/>
                <w:sz w:val="20"/>
              </w:rPr>
            </w:pPr>
            <w:r w:rsidRPr="00701455">
              <w:rPr>
                <w:rFonts w:ascii="Corbel" w:hAnsi="Corbel"/>
                <w:b/>
                <w:sz w:val="20"/>
              </w:rPr>
              <w:t>Le regole di associatività</w:t>
            </w:r>
          </w:p>
        </w:tc>
        <w:tc>
          <w:tcPr>
            <w:tcW w:w="5273" w:type="dxa"/>
            <w:shd w:val="clear" w:color="auto" w:fill="FFC891"/>
            <w:tcMar>
              <w:top w:w="28" w:type="dxa"/>
              <w:left w:w="113" w:type="dxa"/>
              <w:bottom w:w="28" w:type="dxa"/>
              <w:right w:w="113" w:type="dxa"/>
            </w:tcMar>
          </w:tcPr>
          <w:p w14:paraId="476D1919" w14:textId="77777777" w:rsidR="00F43D8F" w:rsidRPr="00701455" w:rsidRDefault="00D5311F" w:rsidP="008C4BB1">
            <w:pPr>
              <w:contextualSpacing/>
              <w:jc w:val="both"/>
              <w:rPr>
                <w:rFonts w:ascii="Corbel" w:hAnsi="Corbel"/>
                <w:sz w:val="20"/>
              </w:rPr>
            </w:pPr>
            <w:r w:rsidRPr="00701455">
              <w:rPr>
                <w:rFonts w:ascii="Corbel" w:hAnsi="Corbel"/>
                <w:sz w:val="20"/>
              </w:rPr>
              <w:t>Se in un’espressione vi sono più operatori con il medesimo livello di prec</w:t>
            </w:r>
            <w:r w:rsidR="00F43D8F" w:rsidRPr="00701455">
              <w:rPr>
                <w:rFonts w:ascii="Corbel" w:hAnsi="Corbel"/>
                <w:sz w:val="20"/>
              </w:rPr>
              <w:t>edenza, allora:</w:t>
            </w:r>
          </w:p>
          <w:p w14:paraId="1CD0591B" w14:textId="77777777" w:rsidR="00F43D8F" w:rsidRPr="00701455" w:rsidRDefault="00F43D8F" w:rsidP="008C4BB1">
            <w:pPr>
              <w:pStyle w:val="Paragrafoelenco"/>
              <w:numPr>
                <w:ilvl w:val="0"/>
                <w:numId w:val="17"/>
              </w:numPr>
              <w:jc w:val="both"/>
              <w:rPr>
                <w:rFonts w:ascii="Corbel" w:hAnsi="Corbel"/>
                <w:sz w:val="20"/>
              </w:rPr>
            </w:pPr>
            <w:r w:rsidRPr="00701455">
              <w:rPr>
                <w:rFonts w:ascii="Corbel" w:hAnsi="Corbel"/>
                <w:sz w:val="20"/>
              </w:rPr>
              <w:t>gli operatori binari (eccetto quello di assegnazione) sono valutati da sinistra a destra (associatività verso destra);</w:t>
            </w:r>
          </w:p>
          <w:p w14:paraId="3C16FFDF" w14:textId="466F9D5D" w:rsidR="00F43D8F" w:rsidRPr="00701455" w:rsidRDefault="00F43D8F" w:rsidP="008C4BB1">
            <w:pPr>
              <w:pStyle w:val="Paragrafoelenco"/>
              <w:numPr>
                <w:ilvl w:val="0"/>
                <w:numId w:val="17"/>
              </w:numPr>
              <w:jc w:val="both"/>
              <w:rPr>
                <w:rFonts w:ascii="Corbel" w:hAnsi="Corbel"/>
                <w:sz w:val="20"/>
              </w:rPr>
            </w:pPr>
            <w:r w:rsidRPr="00701455">
              <w:rPr>
                <w:rFonts w:ascii="Corbel" w:hAnsi="Corbel"/>
                <w:sz w:val="20"/>
              </w:rPr>
              <w:t>gli operatori unari, quello ternario e quelli di assegnazione sono valutati da destra a sinistra (associatività verso sinistra).</w:t>
            </w:r>
          </w:p>
        </w:tc>
      </w:tr>
    </w:tbl>
    <w:p w14:paraId="433DE04F" w14:textId="37D30141" w:rsidR="00380B20" w:rsidRPr="008C4BB1" w:rsidRDefault="00380B20" w:rsidP="008C4BB1">
      <w:pPr>
        <w:spacing w:after="0" w:line="240" w:lineRule="auto"/>
        <w:contextualSpacing/>
        <w:jc w:val="both"/>
        <w:rPr>
          <w:rFonts w:ascii="Century Gothic" w:hAnsi="Century Gothic"/>
          <w:sz w:val="10"/>
        </w:rPr>
      </w:pPr>
    </w:p>
    <w:p w14:paraId="34E3EA30" w14:textId="045591BE" w:rsidR="00380B20" w:rsidRDefault="00F43D8F" w:rsidP="008C4BB1">
      <w:pPr>
        <w:spacing w:after="0" w:line="240" w:lineRule="auto"/>
        <w:contextualSpacing/>
        <w:jc w:val="both"/>
        <w:rPr>
          <w:rFonts w:ascii="Century Gothic" w:eastAsiaTheme="minorEastAsia" w:hAnsi="Century Gothic"/>
          <w:sz w:val="20"/>
        </w:rPr>
      </w:pPr>
      <w:r>
        <w:rPr>
          <w:rFonts w:ascii="Century Gothic" w:hAnsi="Century Gothic"/>
          <w:sz w:val="20"/>
        </w:rPr>
        <w:t xml:space="preserve">La tabella seguente presenta i livelli di precedenza e il tipo di associatività dei gruppi degli operatori del Java. Il tipo di associatività è riportato nell’ultima riga indicando </w:t>
      </w:r>
      <m:oMath>
        <m:r>
          <w:rPr>
            <w:rFonts w:ascii="Cambria Math" w:hAnsi="Cambria Math"/>
            <w:sz w:val="20"/>
          </w:rPr>
          <m:t>S←D</m:t>
        </m:r>
      </m:oMath>
      <w:r>
        <w:rPr>
          <w:rFonts w:ascii="Century Gothic" w:eastAsiaTheme="minorEastAsia" w:hAnsi="Century Gothic"/>
          <w:sz w:val="20"/>
        </w:rPr>
        <w:t xml:space="preserve">, per gli operatori valutati da destra a sinistra, e </w:t>
      </w:r>
      <m:oMath>
        <m:r>
          <w:rPr>
            <w:rFonts w:ascii="Cambria Math" w:eastAsiaTheme="minorEastAsia" w:hAnsi="Cambria Math"/>
            <w:sz w:val="20"/>
          </w:rPr>
          <m:t>S→D</m:t>
        </m:r>
      </m:oMath>
      <w:r>
        <w:rPr>
          <w:rFonts w:ascii="Century Gothic" w:eastAsiaTheme="minorEastAsia" w:hAnsi="Century Gothic"/>
          <w:sz w:val="20"/>
        </w:rPr>
        <w:t>, per gli operatori calcolati da sinistra a destra.</w:t>
      </w:r>
    </w:p>
    <w:p w14:paraId="61C4C664" w14:textId="77777777" w:rsidR="00F43D8F" w:rsidRDefault="00F43D8F" w:rsidP="008C4BB1">
      <w:pPr>
        <w:spacing w:after="0" w:line="240" w:lineRule="auto"/>
        <w:contextualSpacing/>
        <w:jc w:val="both"/>
        <w:rPr>
          <w:rFonts w:ascii="Century Gothic" w:hAnsi="Century Gothic"/>
          <w:sz w:val="20"/>
        </w:rPr>
      </w:pPr>
    </w:p>
    <w:tbl>
      <w:tblPr>
        <w:tblStyle w:val="Grigliatabella"/>
        <w:tblW w:w="0" w:type="auto"/>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none" w:sz="0" w:space="0" w:color="auto"/>
          <w:insideV w:val="none" w:sz="0" w:space="0" w:color="auto"/>
        </w:tblBorders>
        <w:tblLayout w:type="fixed"/>
        <w:tblLook w:val="04A0" w:firstRow="1" w:lastRow="0" w:firstColumn="1" w:lastColumn="0" w:noHBand="0" w:noVBand="1"/>
      </w:tblPr>
      <w:tblGrid>
        <w:gridCol w:w="567"/>
        <w:gridCol w:w="1134"/>
        <w:gridCol w:w="567"/>
        <w:gridCol w:w="567"/>
        <w:gridCol w:w="567"/>
        <w:gridCol w:w="851"/>
        <w:gridCol w:w="567"/>
        <w:gridCol w:w="567"/>
        <w:gridCol w:w="567"/>
        <w:gridCol w:w="567"/>
        <w:gridCol w:w="567"/>
        <w:gridCol w:w="567"/>
        <w:gridCol w:w="567"/>
        <w:gridCol w:w="567"/>
        <w:gridCol w:w="1134"/>
      </w:tblGrid>
      <w:tr w:rsidR="0048427E" w:rsidRPr="0048427E" w14:paraId="3C94A3E3" w14:textId="77777777" w:rsidTr="00484662">
        <w:trPr>
          <w:jc w:val="center"/>
        </w:trPr>
        <w:tc>
          <w:tcPr>
            <w:tcW w:w="1701" w:type="dxa"/>
            <w:gridSpan w:val="2"/>
            <w:tcBorders>
              <w:top w:val="single" w:sz="6" w:space="0" w:color="808080" w:themeColor="background1" w:themeShade="80"/>
              <w:bottom w:val="single" w:sz="4" w:space="0" w:color="808080" w:themeColor="background1" w:themeShade="80"/>
              <w:right w:val="nil"/>
            </w:tcBorders>
            <w:shd w:val="clear" w:color="auto" w:fill="E2EFD9" w:themeFill="accent6" w:themeFillTint="33"/>
            <w:tcMar>
              <w:top w:w="28" w:type="dxa"/>
              <w:bottom w:w="28" w:type="dxa"/>
            </w:tcMar>
            <w:vAlign w:val="center"/>
          </w:tcPr>
          <w:p w14:paraId="726F079F" w14:textId="40621475" w:rsidR="0048427E" w:rsidRPr="0048427E" w:rsidRDefault="0048427E" w:rsidP="008C4BB1">
            <w:pPr>
              <w:contextualSpacing/>
              <w:jc w:val="center"/>
              <w:rPr>
                <w:rFonts w:ascii="Century Gothic" w:hAnsi="Century Gothic"/>
                <w:sz w:val="12"/>
                <w:szCs w:val="16"/>
              </w:rPr>
            </w:pPr>
            <m:oMathPara>
              <m:oMath>
                <m:r>
                  <w:rPr>
                    <w:rFonts w:ascii="Cambria Math" w:hAnsi="Cambria Math"/>
                    <w:sz w:val="12"/>
                    <w:szCs w:val="16"/>
                  </w:rPr>
                  <m:t>Precedenza maggiore</m:t>
                </m:r>
              </m:oMath>
            </m:oMathPara>
          </w:p>
        </w:tc>
        <w:tc>
          <w:tcPr>
            <w:tcW w:w="6521" w:type="dxa"/>
            <w:gridSpan w:val="11"/>
            <w:tcBorders>
              <w:top w:val="single" w:sz="6" w:space="0" w:color="808080" w:themeColor="background1" w:themeShade="80"/>
              <w:left w:val="nil"/>
              <w:bottom w:val="single" w:sz="4" w:space="0" w:color="808080" w:themeColor="background1" w:themeShade="80"/>
              <w:right w:val="nil"/>
            </w:tcBorders>
            <w:shd w:val="clear" w:color="auto" w:fill="E2EFD9" w:themeFill="accent6" w:themeFillTint="33"/>
            <w:tcMar>
              <w:top w:w="28" w:type="dxa"/>
              <w:bottom w:w="28" w:type="dxa"/>
            </w:tcMar>
            <w:vAlign w:val="center"/>
          </w:tcPr>
          <w:p w14:paraId="59B256E5" w14:textId="77777777" w:rsidR="0048427E" w:rsidRPr="0048427E" w:rsidRDefault="0048427E" w:rsidP="008C4BB1">
            <w:pPr>
              <w:contextualSpacing/>
              <w:jc w:val="center"/>
              <w:rPr>
                <w:rFonts w:ascii="Century Gothic" w:hAnsi="Century Gothic"/>
                <w:sz w:val="12"/>
                <w:szCs w:val="16"/>
              </w:rPr>
            </w:pPr>
          </w:p>
        </w:tc>
        <w:tc>
          <w:tcPr>
            <w:tcW w:w="1701" w:type="dxa"/>
            <w:gridSpan w:val="2"/>
            <w:tcBorders>
              <w:top w:val="single" w:sz="6" w:space="0" w:color="808080" w:themeColor="background1" w:themeShade="80"/>
              <w:left w:val="nil"/>
              <w:bottom w:val="single" w:sz="4" w:space="0" w:color="808080" w:themeColor="background1" w:themeShade="80"/>
            </w:tcBorders>
            <w:shd w:val="clear" w:color="auto" w:fill="E2EFD9" w:themeFill="accent6" w:themeFillTint="33"/>
          </w:tcPr>
          <w:p w14:paraId="29BC6C54" w14:textId="6D0ADA29" w:rsidR="0048427E" w:rsidRPr="0048427E" w:rsidRDefault="0048427E" w:rsidP="008C4BB1">
            <w:pPr>
              <w:contextualSpacing/>
              <w:jc w:val="center"/>
              <w:rPr>
                <w:rFonts w:ascii="Century Gothic" w:hAnsi="Century Gothic"/>
                <w:sz w:val="12"/>
                <w:szCs w:val="16"/>
              </w:rPr>
            </w:pPr>
            <m:oMathPara>
              <m:oMath>
                <m:r>
                  <w:rPr>
                    <w:rFonts w:ascii="Cambria Math" w:hAnsi="Cambria Math"/>
                    <w:sz w:val="12"/>
                    <w:szCs w:val="16"/>
                  </w:rPr>
                  <m:t>Precedenza minore</m:t>
                </m:r>
              </m:oMath>
            </m:oMathPara>
          </w:p>
        </w:tc>
      </w:tr>
      <w:tr w:rsidR="00AB16F4" w:rsidRPr="0048427E" w14:paraId="1A75A8A8" w14:textId="77777777" w:rsidTr="00AB16F4">
        <w:trPr>
          <w:jc w:val="center"/>
        </w:trPr>
        <w:tc>
          <w:tcPr>
            <w:tcW w:w="567" w:type="dxa"/>
            <w:tcBorders>
              <w:top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3B37E8A6" w14:textId="350DC2F2"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hAnsi="Cambria Math"/>
                    <w:sz w:val="12"/>
                    <w:szCs w:val="16"/>
                  </w:rPr>
                  <m:t>.</m:t>
                </m:r>
              </m:oMath>
            </m:oMathPara>
          </w:p>
          <w:p w14:paraId="217B7691" w14:textId="55BB08BF" w:rsidR="00AB16F4" w:rsidRPr="0048427E" w:rsidRDefault="00F94885" w:rsidP="008C4BB1">
            <w:pPr>
              <w:contextualSpacing/>
              <w:jc w:val="center"/>
              <w:rPr>
                <w:rFonts w:ascii="Century Gothic" w:eastAsiaTheme="minorEastAsia" w:hAnsi="Century Gothic"/>
                <w:sz w:val="12"/>
                <w:szCs w:val="16"/>
              </w:rPr>
            </w:pPr>
            <m:oMathPara>
              <m:oMath>
                <m:d>
                  <m:dPr>
                    <m:begChr m:val="["/>
                    <m:endChr m:val="]"/>
                    <m:ctrlPr>
                      <w:rPr>
                        <w:rFonts w:ascii="Cambria Math" w:eastAsiaTheme="minorEastAsia" w:hAnsi="Cambria Math"/>
                        <w:i/>
                        <w:sz w:val="12"/>
                        <w:szCs w:val="16"/>
                      </w:rPr>
                    </m:ctrlPr>
                  </m:dPr>
                  <m:e>
                    <m:r>
                      <w:rPr>
                        <w:rFonts w:ascii="Cambria Math" w:eastAsiaTheme="minorEastAsia" w:hAnsi="Cambria Math"/>
                        <w:sz w:val="12"/>
                        <w:szCs w:val="16"/>
                      </w:rPr>
                      <m:t xml:space="preserve"> </m:t>
                    </m:r>
                  </m:e>
                </m:d>
              </m:oMath>
            </m:oMathPara>
          </w:p>
          <w:p w14:paraId="4F1487F1" w14:textId="01BA9342" w:rsidR="00AB16F4" w:rsidRPr="0048427E" w:rsidRDefault="00F94885" w:rsidP="008C4BB1">
            <w:pPr>
              <w:contextualSpacing/>
              <w:jc w:val="center"/>
              <w:rPr>
                <w:rFonts w:ascii="Century Gothic" w:eastAsiaTheme="minorEastAsia" w:hAnsi="Century Gothic"/>
                <w:sz w:val="12"/>
                <w:szCs w:val="16"/>
              </w:rPr>
            </w:pPr>
            <m:oMathPara>
              <m:oMath>
                <m:d>
                  <m:dPr>
                    <m:ctrlPr>
                      <w:rPr>
                        <w:rFonts w:ascii="Cambria Math" w:eastAsiaTheme="minorEastAsia" w:hAnsi="Cambria Math"/>
                        <w:i/>
                        <w:sz w:val="12"/>
                        <w:szCs w:val="16"/>
                      </w:rPr>
                    </m:ctrlPr>
                  </m:dPr>
                  <m:e>
                    <m:r>
                      <w:rPr>
                        <w:rFonts w:ascii="Cambria Math" w:eastAsiaTheme="minorEastAsia" w:hAnsi="Cambria Math"/>
                        <w:sz w:val="12"/>
                        <w:szCs w:val="16"/>
                      </w:rPr>
                      <m:t xml:space="preserve"> </m:t>
                    </m:r>
                  </m:e>
                </m:d>
              </m:oMath>
            </m:oMathPara>
          </w:p>
          <w:p w14:paraId="2D601F59" w14:textId="13F54E7C"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m:t>
                </m:r>
              </m:oMath>
            </m:oMathPara>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06ECA2C1" w14:textId="7B043B4E"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hAnsi="Cambria Math"/>
                    <w:sz w:val="12"/>
                    <w:szCs w:val="16"/>
                  </w:rPr>
                  <m:t xml:space="preserve">++ </m:t>
                </m:r>
                <m:d>
                  <m:dPr>
                    <m:ctrlPr>
                      <w:rPr>
                        <w:rFonts w:ascii="Cambria Math" w:hAnsi="Cambria Math"/>
                        <w:i/>
                        <w:sz w:val="12"/>
                        <w:szCs w:val="16"/>
                      </w:rPr>
                    </m:ctrlPr>
                  </m:dPr>
                  <m:e>
                    <m:r>
                      <w:rPr>
                        <w:rFonts w:ascii="Cambria Math" w:hAnsi="Cambria Math"/>
                        <w:sz w:val="12"/>
                        <w:szCs w:val="16"/>
                      </w:rPr>
                      <m:t>prefisso</m:t>
                    </m:r>
                  </m:e>
                </m:d>
              </m:oMath>
            </m:oMathPara>
          </w:p>
          <w:p w14:paraId="585F2554" w14:textId="65D0F92E"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 xml:space="preserve">-- </m:t>
                </m:r>
                <m:d>
                  <m:dPr>
                    <m:ctrlPr>
                      <w:rPr>
                        <w:rFonts w:ascii="Cambria Math" w:eastAsiaTheme="minorEastAsia" w:hAnsi="Cambria Math"/>
                        <w:i/>
                        <w:sz w:val="12"/>
                        <w:szCs w:val="16"/>
                      </w:rPr>
                    </m:ctrlPr>
                  </m:dPr>
                  <m:e>
                    <m:r>
                      <w:rPr>
                        <w:rFonts w:ascii="Cambria Math" w:eastAsiaTheme="minorEastAsia" w:hAnsi="Cambria Math"/>
                        <w:sz w:val="12"/>
                        <w:szCs w:val="16"/>
                      </w:rPr>
                      <m:t>prefisso</m:t>
                    </m:r>
                  </m:e>
                </m:d>
              </m:oMath>
            </m:oMathPara>
          </w:p>
          <w:p w14:paraId="25DA3D63" w14:textId="7284076B"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 xml:space="preserve">+ </m:t>
                </m:r>
                <m:d>
                  <m:dPr>
                    <m:ctrlPr>
                      <w:rPr>
                        <w:rFonts w:ascii="Cambria Math" w:eastAsiaTheme="minorEastAsia" w:hAnsi="Cambria Math"/>
                        <w:i/>
                        <w:sz w:val="12"/>
                        <w:szCs w:val="16"/>
                      </w:rPr>
                    </m:ctrlPr>
                  </m:dPr>
                  <m:e>
                    <m:r>
                      <w:rPr>
                        <w:rFonts w:ascii="Cambria Math" w:eastAsiaTheme="minorEastAsia" w:hAnsi="Cambria Math"/>
                        <w:sz w:val="12"/>
                        <w:szCs w:val="16"/>
                      </w:rPr>
                      <m:t>unario</m:t>
                    </m:r>
                  </m:e>
                </m:d>
              </m:oMath>
            </m:oMathPara>
          </w:p>
          <w:p w14:paraId="3AFFE1BE" w14:textId="24A53FC3"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 xml:space="preserve">- </m:t>
                </m:r>
                <m:d>
                  <m:dPr>
                    <m:ctrlPr>
                      <w:rPr>
                        <w:rFonts w:ascii="Cambria Math" w:eastAsiaTheme="minorEastAsia" w:hAnsi="Cambria Math"/>
                        <w:i/>
                        <w:sz w:val="12"/>
                        <w:szCs w:val="16"/>
                      </w:rPr>
                    </m:ctrlPr>
                  </m:dPr>
                  <m:e>
                    <m:r>
                      <w:rPr>
                        <w:rFonts w:ascii="Cambria Math" w:eastAsiaTheme="minorEastAsia" w:hAnsi="Cambria Math"/>
                        <w:sz w:val="12"/>
                        <w:szCs w:val="16"/>
                      </w:rPr>
                      <m:t>unario</m:t>
                    </m:r>
                  </m:e>
                </m:d>
              </m:oMath>
            </m:oMathPara>
          </w:p>
          <w:p w14:paraId="0354E18D" w14:textId="7DE70B2F"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m:t>
                </m:r>
              </m:oMath>
            </m:oMathPara>
          </w:p>
          <w:p w14:paraId="66A20320" w14:textId="0A0CFFA2"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m:t>
                </m:r>
              </m:oMath>
            </m:oMathPara>
          </w:p>
          <w:p w14:paraId="5B9F51AD" w14:textId="37B78544" w:rsidR="00AB16F4" w:rsidRPr="0048427E" w:rsidRDefault="00F94885" w:rsidP="008C4BB1">
            <w:pPr>
              <w:contextualSpacing/>
              <w:jc w:val="center"/>
              <w:rPr>
                <w:rFonts w:ascii="Century Gothic" w:eastAsiaTheme="minorEastAsia" w:hAnsi="Century Gothic"/>
                <w:sz w:val="12"/>
                <w:szCs w:val="16"/>
              </w:rPr>
            </w:pPr>
            <m:oMathPara>
              <m:oMath>
                <m:d>
                  <m:dPr>
                    <m:ctrlPr>
                      <w:rPr>
                        <w:rFonts w:ascii="Cambria Math" w:eastAsiaTheme="minorEastAsia" w:hAnsi="Cambria Math"/>
                        <w:i/>
                        <w:sz w:val="12"/>
                        <w:szCs w:val="16"/>
                      </w:rPr>
                    </m:ctrlPr>
                  </m:dPr>
                  <m:e>
                    <m:r>
                      <w:rPr>
                        <w:rFonts w:ascii="Cambria Math" w:eastAsiaTheme="minorEastAsia" w:hAnsi="Cambria Math"/>
                        <w:sz w:val="12"/>
                        <w:szCs w:val="16"/>
                      </w:rPr>
                      <m:t>tipo di dato</m:t>
                    </m:r>
                  </m:e>
                </m:d>
              </m:oMath>
            </m:oMathPara>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14AA3C6D" w14:textId="54DA59F4"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hAnsi="Cambria Math"/>
                    <w:sz w:val="12"/>
                    <w:szCs w:val="16"/>
                  </w:rPr>
                  <m:t>*</m:t>
                </m:r>
              </m:oMath>
            </m:oMathPara>
          </w:p>
          <w:p w14:paraId="55FDE7D3" w14:textId="0BBD05D1"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m:t>
                </m:r>
              </m:oMath>
            </m:oMathPara>
          </w:p>
          <w:p w14:paraId="0A0D4A78" w14:textId="021D1D27"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m:t>
                </m:r>
              </m:oMath>
            </m:oMathPara>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23FE35FC" w14:textId="7DF67686"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hAnsi="Cambria Math"/>
                    <w:sz w:val="12"/>
                    <w:szCs w:val="16"/>
                  </w:rPr>
                  <m:t>+</m:t>
                </m:r>
              </m:oMath>
            </m:oMathPara>
          </w:p>
          <w:p w14:paraId="3AEE914B" w14:textId="4358CA9B"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m:t>
                </m:r>
              </m:oMath>
            </m:oMathPara>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049E520D" w14:textId="49E61051"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&lt;&lt;</m:t>
                </m:r>
              </m:oMath>
            </m:oMathPara>
          </w:p>
          <w:p w14:paraId="2ED5A16B" w14:textId="0FA263BE"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&gt;&gt;</m:t>
                </m:r>
              </m:oMath>
            </m:oMathPara>
          </w:p>
          <w:p w14:paraId="6D48D0D2" w14:textId="3A8D92D0"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&gt;&gt;&gt;</m:t>
                </m:r>
              </m:oMath>
            </m:oMathPara>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6DA5E9A3" w14:textId="6EEC3289"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hAnsi="Cambria Math"/>
                    <w:sz w:val="12"/>
                    <w:szCs w:val="16"/>
                  </w:rPr>
                  <m:t>&lt;</m:t>
                </m:r>
              </m:oMath>
            </m:oMathPara>
          </w:p>
          <w:p w14:paraId="1EEBE6A4" w14:textId="350CC31F"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&gt;</m:t>
                </m:r>
              </m:oMath>
            </m:oMathPara>
          </w:p>
          <w:p w14:paraId="30CED719" w14:textId="73997C80"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&lt;=</m:t>
                </m:r>
              </m:oMath>
            </m:oMathPara>
          </w:p>
          <w:p w14:paraId="4B5EA8F2" w14:textId="3B7D0EA8"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&gt;=</m:t>
                </m:r>
              </m:oMath>
            </m:oMathPara>
          </w:p>
          <w:p w14:paraId="1D7FFBAE" w14:textId="175A0955"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instanceof</m:t>
                </m:r>
              </m:oMath>
            </m:oMathPara>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184C173B" w14:textId="425372F1"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hAnsi="Cambria Math"/>
                    <w:sz w:val="12"/>
                    <w:szCs w:val="16"/>
                  </w:rPr>
                  <m:t>==</m:t>
                </m:r>
              </m:oMath>
            </m:oMathPara>
          </w:p>
          <w:p w14:paraId="51E7118F" w14:textId="7DC804CA"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m:t>
                </m:r>
              </m:oMath>
            </m:oMathPara>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07A24DA" w14:textId="4E214C5C"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hAnsi="Cambria Math"/>
                    <w:sz w:val="12"/>
                    <w:szCs w:val="16"/>
                  </w:rPr>
                  <m:t>&amp;</m:t>
                </m:r>
              </m:oMath>
            </m:oMathPara>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CE307FD" w14:textId="0B9263DB"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m:t>
                </m:r>
              </m:oMath>
            </m:oMathPara>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F103C3" w14:textId="44D49A7D"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hAnsi="Cambria Math"/>
                    <w:sz w:val="12"/>
                    <w:szCs w:val="16"/>
                  </w:rPr>
                  <m:t>|</m:t>
                </m:r>
              </m:oMath>
            </m:oMathPara>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E498B2D" w14:textId="0E579C63"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&amp;&amp;</m:t>
                </m:r>
              </m:oMath>
            </m:oMathPara>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28998280" w14:textId="61EDE4C0"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m:t>
                </m:r>
              </m:oMath>
            </m:oMathPara>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28" w:type="dxa"/>
              <w:bottom w:w="28" w:type="dxa"/>
            </w:tcMar>
            <w:vAlign w:val="center"/>
          </w:tcPr>
          <w:p w14:paraId="24304364" w14:textId="4D4ABC3A"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m:t>
                </m:r>
              </m:oMath>
            </m:oMathPara>
          </w:p>
        </w:tc>
        <w:tc>
          <w:tcPr>
            <w:tcW w:w="5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17A3FE5" w14:textId="77777777"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hAnsi="Cambria Math"/>
                    <w:sz w:val="12"/>
                    <w:szCs w:val="16"/>
                  </w:rPr>
                  <m:t>=</m:t>
                </m:r>
              </m:oMath>
            </m:oMathPara>
          </w:p>
          <w:p w14:paraId="39035742" w14:textId="2FCBE806"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op=</m:t>
                </m:r>
              </m:oMath>
            </m:oMathPara>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tcBorders>
            <w:tcMar>
              <w:top w:w="28" w:type="dxa"/>
              <w:bottom w:w="28" w:type="dxa"/>
            </w:tcMar>
            <w:vAlign w:val="center"/>
          </w:tcPr>
          <w:p w14:paraId="2F98C25F" w14:textId="77777777"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 xml:space="preserve">++ </m:t>
                </m:r>
                <m:d>
                  <m:dPr>
                    <m:ctrlPr>
                      <w:rPr>
                        <w:rFonts w:ascii="Cambria Math" w:eastAsiaTheme="minorEastAsia" w:hAnsi="Cambria Math"/>
                        <w:i/>
                        <w:sz w:val="12"/>
                        <w:szCs w:val="16"/>
                      </w:rPr>
                    </m:ctrlPr>
                  </m:dPr>
                  <m:e>
                    <m:r>
                      <w:rPr>
                        <w:rFonts w:ascii="Cambria Math" w:eastAsiaTheme="minorEastAsia" w:hAnsi="Cambria Math"/>
                        <w:sz w:val="12"/>
                        <w:szCs w:val="16"/>
                      </w:rPr>
                      <m:t>postfisso</m:t>
                    </m:r>
                  </m:e>
                </m:d>
              </m:oMath>
            </m:oMathPara>
          </w:p>
          <w:p w14:paraId="6A961377" w14:textId="5B597D91" w:rsidR="00AB16F4" w:rsidRPr="0048427E" w:rsidRDefault="00AB16F4" w:rsidP="008C4BB1">
            <w:pPr>
              <w:contextualSpacing/>
              <w:jc w:val="center"/>
              <w:rPr>
                <w:rFonts w:ascii="Century Gothic" w:eastAsiaTheme="minorEastAsia" w:hAnsi="Century Gothic"/>
                <w:sz w:val="12"/>
                <w:szCs w:val="16"/>
              </w:rPr>
            </w:pPr>
            <m:oMathPara>
              <m:oMath>
                <m:r>
                  <w:rPr>
                    <w:rFonts w:ascii="Cambria Math" w:eastAsiaTheme="minorEastAsia" w:hAnsi="Cambria Math"/>
                    <w:sz w:val="12"/>
                    <w:szCs w:val="16"/>
                  </w:rPr>
                  <m:t xml:space="preserve">-- </m:t>
                </m:r>
                <m:d>
                  <m:dPr>
                    <m:ctrlPr>
                      <w:rPr>
                        <w:rFonts w:ascii="Cambria Math" w:eastAsiaTheme="minorEastAsia" w:hAnsi="Cambria Math"/>
                        <w:i/>
                        <w:sz w:val="12"/>
                        <w:szCs w:val="16"/>
                      </w:rPr>
                    </m:ctrlPr>
                  </m:dPr>
                  <m:e>
                    <m:r>
                      <w:rPr>
                        <w:rFonts w:ascii="Cambria Math" w:eastAsiaTheme="minorEastAsia" w:hAnsi="Cambria Math"/>
                        <w:sz w:val="12"/>
                        <w:szCs w:val="16"/>
                      </w:rPr>
                      <m:t>postfisso</m:t>
                    </m:r>
                  </m:e>
                </m:d>
              </m:oMath>
            </m:oMathPara>
          </w:p>
        </w:tc>
      </w:tr>
      <w:tr w:rsidR="00AB16F4" w:rsidRPr="0048427E" w14:paraId="78805B10" w14:textId="77777777" w:rsidTr="00AB16F4">
        <w:trPr>
          <w:jc w:val="center"/>
        </w:trPr>
        <w:tc>
          <w:tcPr>
            <w:tcW w:w="567" w:type="dxa"/>
            <w:tcBorders>
              <w:top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tcMar>
              <w:top w:w="28" w:type="dxa"/>
              <w:bottom w:w="28" w:type="dxa"/>
            </w:tcMar>
            <w:vAlign w:val="center"/>
          </w:tcPr>
          <w:p w14:paraId="2ED3E224" w14:textId="17765837"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1134"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tcMar>
              <w:top w:w="28" w:type="dxa"/>
              <w:bottom w:w="28" w:type="dxa"/>
            </w:tcMar>
            <w:vAlign w:val="center"/>
          </w:tcPr>
          <w:p w14:paraId="11973FE5" w14:textId="2956BF8E"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567"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tcMar>
              <w:top w:w="28" w:type="dxa"/>
              <w:bottom w:w="28" w:type="dxa"/>
            </w:tcMar>
            <w:vAlign w:val="center"/>
          </w:tcPr>
          <w:p w14:paraId="727AEC3C" w14:textId="008B3D5F"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567"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tcMar>
              <w:top w:w="28" w:type="dxa"/>
              <w:bottom w:w="28" w:type="dxa"/>
            </w:tcMar>
            <w:vAlign w:val="center"/>
          </w:tcPr>
          <w:p w14:paraId="70C5B4E7" w14:textId="78BE0534"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567"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tcMar>
              <w:top w:w="28" w:type="dxa"/>
              <w:bottom w:w="28" w:type="dxa"/>
            </w:tcMar>
            <w:vAlign w:val="center"/>
          </w:tcPr>
          <w:p w14:paraId="6BB9EC8A" w14:textId="2CDA95BA"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851"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tcMar>
              <w:top w:w="28" w:type="dxa"/>
              <w:bottom w:w="28" w:type="dxa"/>
            </w:tcMar>
            <w:vAlign w:val="center"/>
          </w:tcPr>
          <w:p w14:paraId="56B45641" w14:textId="58AECCEC"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567"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tcMar>
              <w:top w:w="28" w:type="dxa"/>
              <w:bottom w:w="28" w:type="dxa"/>
            </w:tcMar>
            <w:vAlign w:val="center"/>
          </w:tcPr>
          <w:p w14:paraId="5F5DD9A6" w14:textId="4D5F4B1E"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567"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vAlign w:val="center"/>
          </w:tcPr>
          <w:p w14:paraId="6511DCF7" w14:textId="5BD190D8"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567"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vAlign w:val="center"/>
          </w:tcPr>
          <w:p w14:paraId="25D031C4" w14:textId="11AE8B3C"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567"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vAlign w:val="center"/>
          </w:tcPr>
          <w:p w14:paraId="4EED7F2A" w14:textId="70202B53"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567"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vAlign w:val="center"/>
          </w:tcPr>
          <w:p w14:paraId="2E428A99" w14:textId="1D2B07A4"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567"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tcMar>
              <w:top w:w="28" w:type="dxa"/>
              <w:bottom w:w="28" w:type="dxa"/>
            </w:tcMar>
            <w:vAlign w:val="center"/>
          </w:tcPr>
          <w:p w14:paraId="2E738D92" w14:textId="16D0D50E"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567"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tcMar>
              <w:top w:w="28" w:type="dxa"/>
              <w:bottom w:w="28" w:type="dxa"/>
            </w:tcMar>
            <w:vAlign w:val="center"/>
          </w:tcPr>
          <w:p w14:paraId="220AF2D5" w14:textId="694A70A7" w:rsidR="00AB16F4" w:rsidRPr="0048427E" w:rsidRDefault="0048427E"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c>
          <w:tcPr>
            <w:tcW w:w="567" w:type="dxa"/>
            <w:tcBorders>
              <w:top w:val="single" w:sz="4" w:space="0" w:color="808080" w:themeColor="background1" w:themeShade="80"/>
              <w:left w:val="single" w:sz="4" w:space="0" w:color="808080" w:themeColor="background1" w:themeShade="80"/>
              <w:bottom w:val="single" w:sz="6" w:space="0" w:color="808080" w:themeColor="background1" w:themeShade="80"/>
              <w:right w:val="single" w:sz="4" w:space="0" w:color="808080" w:themeColor="background1" w:themeShade="80"/>
            </w:tcBorders>
            <w:shd w:val="clear" w:color="auto" w:fill="E2EFD9" w:themeFill="accent6" w:themeFillTint="33"/>
          </w:tcPr>
          <w:p w14:paraId="734EFE83" w14:textId="2DCB8C39" w:rsidR="00AB16F4" w:rsidRPr="0048427E" w:rsidRDefault="0048427E" w:rsidP="008C4BB1">
            <w:pPr>
              <w:contextualSpacing/>
              <w:jc w:val="center"/>
              <w:rPr>
                <w:rFonts w:ascii="Century Gothic" w:eastAsia="Calibri" w:hAnsi="Century Gothic" w:cs="Times New Roman"/>
                <w:sz w:val="12"/>
                <w:szCs w:val="16"/>
              </w:rPr>
            </w:pPr>
            <m:oMathPara>
              <m:oMath>
                <m:r>
                  <w:rPr>
                    <w:rFonts w:ascii="Cambria Math" w:hAnsi="Cambria Math"/>
                    <w:sz w:val="12"/>
                    <w:szCs w:val="16"/>
                  </w:rPr>
                  <m:t>S←D</m:t>
                </m:r>
              </m:oMath>
            </m:oMathPara>
          </w:p>
        </w:tc>
        <w:tc>
          <w:tcPr>
            <w:tcW w:w="1134" w:type="dxa"/>
            <w:tcBorders>
              <w:top w:val="single" w:sz="4" w:space="0" w:color="808080" w:themeColor="background1" w:themeShade="80"/>
              <w:left w:val="single" w:sz="4" w:space="0" w:color="808080" w:themeColor="background1" w:themeShade="80"/>
              <w:bottom w:val="single" w:sz="6" w:space="0" w:color="808080" w:themeColor="background1" w:themeShade="80"/>
            </w:tcBorders>
            <w:shd w:val="clear" w:color="auto" w:fill="E2EFD9" w:themeFill="accent6" w:themeFillTint="33"/>
            <w:tcMar>
              <w:top w:w="28" w:type="dxa"/>
              <w:bottom w:w="28" w:type="dxa"/>
            </w:tcMar>
            <w:vAlign w:val="center"/>
          </w:tcPr>
          <w:p w14:paraId="19129239" w14:textId="50374496" w:rsidR="00AB16F4" w:rsidRPr="0048427E" w:rsidRDefault="00AB16F4" w:rsidP="008C4BB1">
            <w:pPr>
              <w:contextualSpacing/>
              <w:jc w:val="center"/>
              <w:rPr>
                <w:rFonts w:ascii="Century Gothic" w:hAnsi="Century Gothic"/>
                <w:sz w:val="12"/>
                <w:szCs w:val="16"/>
              </w:rPr>
            </w:pPr>
            <m:oMathPara>
              <m:oMath>
                <m:r>
                  <w:rPr>
                    <w:rFonts w:ascii="Cambria Math" w:hAnsi="Cambria Math"/>
                    <w:sz w:val="12"/>
                    <w:szCs w:val="16"/>
                  </w:rPr>
                  <m:t>S←D</m:t>
                </m:r>
              </m:oMath>
            </m:oMathPara>
          </w:p>
        </w:tc>
      </w:tr>
    </w:tbl>
    <w:p w14:paraId="4B2674EE" w14:textId="1D60B617" w:rsidR="00380B20" w:rsidRDefault="00380B20" w:rsidP="008C4BB1">
      <w:pPr>
        <w:spacing w:after="0" w:line="240" w:lineRule="auto"/>
        <w:contextualSpacing/>
        <w:jc w:val="both"/>
        <w:rPr>
          <w:rFonts w:ascii="Century Gothic" w:hAnsi="Century Gothic"/>
          <w:sz w:val="20"/>
        </w:rPr>
      </w:pPr>
    </w:p>
    <w:p w14:paraId="22364BDA" w14:textId="7EC75CCE" w:rsidR="00380B20" w:rsidRDefault="0048427E" w:rsidP="008C4BB1">
      <w:pPr>
        <w:spacing w:after="0" w:line="240" w:lineRule="auto"/>
        <w:contextualSpacing/>
        <w:jc w:val="both"/>
        <w:rPr>
          <w:rFonts w:ascii="Century Gothic" w:eastAsiaTheme="minorEastAsia" w:hAnsi="Century Gothic"/>
          <w:sz w:val="20"/>
        </w:rPr>
      </w:pPr>
      <w:r>
        <w:rPr>
          <w:rFonts w:ascii="Century Gothic" w:hAnsi="Century Gothic"/>
          <w:sz w:val="20"/>
        </w:rPr>
        <w:t xml:space="preserve">Nella tabella precedente, gli operatori della prima colonna, che incontreremo nel seguito dello studio, sono considerati dal Java come </w:t>
      </w:r>
      <w:r w:rsidRPr="0048427E">
        <w:rPr>
          <w:rFonts w:ascii="Century Gothic" w:hAnsi="Century Gothic"/>
          <w:sz w:val="20"/>
          <w:u w:val="single"/>
        </w:rPr>
        <w:t>separatori</w:t>
      </w:r>
      <w:r>
        <w:rPr>
          <w:rFonts w:ascii="Century Gothic" w:hAnsi="Century Gothic"/>
          <w:sz w:val="20"/>
        </w:rPr>
        <w:t xml:space="preserve">. L’operatore </w:t>
      </w:r>
      <m:oMath>
        <m:r>
          <w:rPr>
            <w:rFonts w:ascii="Cambria Math" w:hAnsi="Cambria Math"/>
            <w:sz w:val="20"/>
          </w:rPr>
          <m:t>.</m:t>
        </m:r>
      </m:oMath>
      <w:r>
        <w:rPr>
          <w:rFonts w:ascii="Century Gothic" w:eastAsiaTheme="minorEastAsia" w:hAnsi="Century Gothic"/>
          <w:sz w:val="20"/>
        </w:rPr>
        <w:t xml:space="preserve"> è l’operatore “punto” per l’accesso degli attributi/metodi di un oggetto, </w:t>
      </w:r>
      <m:oMath>
        <m:d>
          <m:dPr>
            <m:begChr m:val="["/>
            <m:endChr m:val="]"/>
            <m:ctrlPr>
              <w:rPr>
                <w:rFonts w:ascii="Cambria Math" w:eastAsiaTheme="minorEastAsia" w:hAnsi="Cambria Math"/>
                <w:i/>
                <w:sz w:val="20"/>
              </w:rPr>
            </m:ctrlPr>
          </m:dPr>
          <m:e>
            <m:r>
              <w:rPr>
                <w:rFonts w:ascii="Cambria Math" w:eastAsiaTheme="minorEastAsia" w:hAnsi="Cambria Math"/>
                <w:sz w:val="20"/>
              </w:rPr>
              <m:t xml:space="preserve"> </m:t>
            </m:r>
          </m:e>
        </m:d>
      </m:oMath>
      <w:r>
        <w:rPr>
          <w:rFonts w:ascii="Century Gothic" w:eastAsiaTheme="minorEastAsia" w:hAnsi="Century Gothic"/>
          <w:sz w:val="20"/>
        </w:rPr>
        <w:t xml:space="preserve"> definisce un oggetto array, </w:t>
      </w:r>
      <m:oMath>
        <m:d>
          <m:dPr>
            <m:ctrlPr>
              <w:rPr>
                <w:rFonts w:ascii="Cambria Math" w:eastAsiaTheme="minorEastAsia" w:hAnsi="Cambria Math"/>
                <w:i/>
                <w:sz w:val="20"/>
              </w:rPr>
            </m:ctrlPr>
          </m:dPr>
          <m:e>
            <m:r>
              <w:rPr>
                <w:rFonts w:ascii="Cambria Math" w:eastAsiaTheme="minorEastAsia" w:hAnsi="Cambria Math"/>
                <w:sz w:val="20"/>
              </w:rPr>
              <m:t xml:space="preserve"> </m:t>
            </m:r>
          </m:e>
        </m:d>
      </m:oMath>
      <w:r>
        <w:rPr>
          <w:rFonts w:ascii="Century Gothic" w:eastAsiaTheme="minorEastAsia" w:hAnsi="Century Gothic"/>
          <w:sz w:val="20"/>
        </w:rPr>
        <w:t xml:space="preserve"> rappresenta la chiamata di un metodo</w:t>
      </w:r>
      <w:r w:rsidR="00193A26">
        <w:rPr>
          <w:rFonts w:ascii="Century Gothic" w:eastAsiaTheme="minorEastAsia" w:hAnsi="Century Gothic"/>
          <w:sz w:val="20"/>
        </w:rPr>
        <w:t xml:space="preserve"> e </w:t>
      </w:r>
      <m:oMath>
        <m:r>
          <w:rPr>
            <w:rFonts w:ascii="Cambria Math" w:eastAsiaTheme="minorEastAsia" w:hAnsi="Cambria Math"/>
            <w:sz w:val="20"/>
          </w:rPr>
          <m:t>,</m:t>
        </m:r>
      </m:oMath>
      <w:r w:rsidR="00193A26">
        <w:rPr>
          <w:rFonts w:ascii="Century Gothic" w:eastAsiaTheme="minorEastAsia" w:hAnsi="Century Gothic"/>
          <w:sz w:val="20"/>
        </w:rPr>
        <w:t xml:space="preserve"> è l’operatore virgola. Sempre nella tabella precedente, </w:t>
      </w:r>
      <m:oMath>
        <m:r>
          <w:rPr>
            <w:rFonts w:ascii="Cambria Math" w:eastAsiaTheme="minorEastAsia" w:hAnsi="Cambria Math"/>
            <w:sz w:val="20"/>
          </w:rPr>
          <m:t>instanceof</m:t>
        </m:r>
      </m:oMath>
      <w:r w:rsidR="00193A26">
        <w:rPr>
          <w:rFonts w:ascii="Century Gothic" w:eastAsiaTheme="minorEastAsia" w:hAnsi="Century Gothic"/>
          <w:sz w:val="20"/>
        </w:rPr>
        <w:t xml:space="preserve"> viene applicato agli oggetti per verificare il tipo di classe, </w:t>
      </w:r>
      <m:oMath>
        <m:r>
          <w:rPr>
            <w:rFonts w:ascii="Cambria Math" w:eastAsiaTheme="minorEastAsia" w:hAnsi="Cambria Math"/>
            <w:sz w:val="20"/>
          </w:rPr>
          <m:t>op=</m:t>
        </m:r>
      </m:oMath>
      <w:r w:rsidR="00193A26">
        <w:rPr>
          <w:rFonts w:ascii="Century Gothic" w:eastAsiaTheme="minorEastAsia" w:hAnsi="Century Gothic"/>
          <w:sz w:val="20"/>
        </w:rPr>
        <w:t xml:space="preserve"> (con </w:t>
      </w:r>
      <m:oMath>
        <m:r>
          <w:rPr>
            <w:rFonts w:ascii="Cambria Math" w:eastAsiaTheme="minorEastAsia" w:hAnsi="Cambria Math"/>
            <w:sz w:val="20"/>
          </w:rPr>
          <m:t>op</m:t>
        </m:r>
      </m:oMath>
      <w:r w:rsidR="00193A26">
        <w:rPr>
          <w:rFonts w:ascii="Century Gothic" w:eastAsiaTheme="minorEastAsia" w:hAnsi="Century Gothic"/>
          <w:sz w:val="20"/>
        </w:rPr>
        <w:t xml:space="preserve"> sostituito da </w:t>
      </w:r>
      <m:oMath>
        <m:r>
          <w:rPr>
            <w:rFonts w:ascii="Cambria Math" w:eastAsiaTheme="minorEastAsia" w:hAnsi="Cambria Math"/>
            <w:sz w:val="20"/>
          </w:rPr>
          <m:t>+</m:t>
        </m:r>
      </m:oMath>
      <w:r w:rsidR="00193A26">
        <w:rPr>
          <w:rFonts w:ascii="Century Gothic" w:eastAsiaTheme="minorEastAsia" w:hAnsi="Century Gothic"/>
          <w:sz w:val="20"/>
        </w:rPr>
        <w:t xml:space="preserve">, </w:t>
      </w:r>
      <m:oMath>
        <m:r>
          <w:rPr>
            <w:rFonts w:ascii="Cambria Math" w:eastAsiaTheme="minorEastAsia" w:hAnsi="Cambria Math"/>
            <w:sz w:val="20"/>
          </w:rPr>
          <m:t>-</m:t>
        </m:r>
      </m:oMath>
      <w:r w:rsidR="00193A26">
        <w:rPr>
          <w:rFonts w:ascii="Century Gothic" w:eastAsiaTheme="minorEastAsia" w:hAnsi="Century Gothic"/>
          <w:sz w:val="20"/>
        </w:rPr>
        <w:t xml:space="preserve">, </w:t>
      </w:r>
      <m:oMath>
        <m:r>
          <w:rPr>
            <w:rFonts w:ascii="Cambria Math" w:eastAsiaTheme="minorEastAsia" w:hAnsi="Cambria Math"/>
            <w:sz w:val="20"/>
          </w:rPr>
          <m:t>*</m:t>
        </m:r>
      </m:oMath>
      <w:r w:rsidR="00193A26">
        <w:rPr>
          <w:rFonts w:ascii="Century Gothic" w:eastAsiaTheme="minorEastAsia" w:hAnsi="Century Gothic"/>
          <w:sz w:val="20"/>
        </w:rPr>
        <w:t xml:space="preserve"> ecc.) simboleggia una forma particolare di assegnazione e </w:t>
      </w:r>
      <m:oMath>
        <m:d>
          <m:dPr>
            <m:ctrlPr>
              <w:rPr>
                <w:rFonts w:ascii="Cambria Math" w:eastAsiaTheme="minorEastAsia" w:hAnsi="Cambria Math"/>
                <w:i/>
                <w:sz w:val="20"/>
              </w:rPr>
            </m:ctrlPr>
          </m:dPr>
          <m:e>
            <m:r>
              <w:rPr>
                <w:rFonts w:ascii="Cambria Math" w:eastAsiaTheme="minorEastAsia" w:hAnsi="Cambria Math"/>
                <w:sz w:val="20"/>
              </w:rPr>
              <m:t>tipo di dato</m:t>
            </m:r>
          </m:e>
        </m:d>
      </m:oMath>
      <w:r w:rsidR="00193A26">
        <w:rPr>
          <w:rFonts w:ascii="Century Gothic" w:eastAsiaTheme="minorEastAsia" w:hAnsi="Century Gothic"/>
          <w:sz w:val="20"/>
        </w:rPr>
        <w:t xml:space="preserve"> indica l’operazione di cast (conversione di tipo).</w:t>
      </w:r>
    </w:p>
    <w:p w14:paraId="414035FC" w14:textId="1E846DE1" w:rsidR="008C4BB1" w:rsidRDefault="008C4BB1" w:rsidP="008C4BB1">
      <w:pPr>
        <w:spacing w:after="0" w:line="240" w:lineRule="auto"/>
        <w:contextualSpacing/>
        <w:rPr>
          <w:rFonts w:ascii="Century Gothic" w:hAnsi="Century Gothic"/>
          <w:sz w:val="20"/>
        </w:rPr>
      </w:pPr>
      <w:r>
        <w:rPr>
          <w:rFonts w:ascii="Century Gothic" w:hAnsi="Century Gothic"/>
          <w:sz w:val="20"/>
        </w:rPr>
        <w:br w:type="page"/>
      </w:r>
    </w:p>
    <w:p w14:paraId="2BE75E31" w14:textId="739197A6" w:rsidR="00B12768" w:rsidRPr="00B12768" w:rsidRDefault="00B12768" w:rsidP="008C4BB1">
      <w:pPr>
        <w:pStyle w:val="Intestazione"/>
        <w:tabs>
          <w:tab w:val="clear" w:pos="4819"/>
          <w:tab w:val="clear" w:pos="9638"/>
        </w:tabs>
        <w:contextualSpacing/>
        <w:jc w:val="both"/>
        <w:rPr>
          <w:rFonts w:ascii="Century Gothic" w:hAnsi="Century Gothic"/>
          <w:i/>
          <w:color w:val="0070C0"/>
          <w:sz w:val="20"/>
        </w:rPr>
      </w:pPr>
      <w:r w:rsidRPr="00B12768">
        <w:rPr>
          <w:rFonts w:ascii="Century Gothic" w:hAnsi="Century Gothic"/>
          <w:i/>
          <w:color w:val="0070C0"/>
          <w:sz w:val="20"/>
        </w:rPr>
        <w:lastRenderedPageBreak/>
        <w:t>Operatori relazionali o di confronto</w:t>
      </w:r>
    </w:p>
    <w:p w14:paraId="66C21230" w14:textId="5DB38BE9" w:rsidR="00380B20" w:rsidRDefault="00B12768" w:rsidP="008C4BB1">
      <w:pPr>
        <w:autoSpaceDE w:val="0"/>
        <w:autoSpaceDN w:val="0"/>
        <w:adjustRightInd w:val="0"/>
        <w:spacing w:after="0" w:line="240" w:lineRule="auto"/>
        <w:contextualSpacing/>
        <w:rPr>
          <w:rFonts w:ascii="Century Gothic" w:hAnsi="Century Gothic"/>
          <w:sz w:val="20"/>
        </w:rPr>
      </w:pPr>
      <w:r>
        <w:rPr>
          <w:rFonts w:ascii="Century Gothic" w:hAnsi="Century Gothic"/>
          <w:sz w:val="20"/>
        </w:rPr>
        <w:t xml:space="preserve">Gli </w:t>
      </w:r>
      <w:r w:rsidRPr="00B12768">
        <w:rPr>
          <w:rFonts w:ascii="Century Gothic" w:hAnsi="Century Gothic"/>
          <w:sz w:val="20"/>
          <w:u w:val="single"/>
        </w:rPr>
        <w:t>operatori relazionali</w:t>
      </w:r>
      <w:r>
        <w:rPr>
          <w:rFonts w:ascii="Century Gothic" w:hAnsi="Century Gothic"/>
          <w:sz w:val="20"/>
        </w:rPr>
        <w:t xml:space="preserve"> effettuano dei confronti tra due operandi (di tipo numerico e </w:t>
      </w:r>
      <w:r w:rsidRPr="00B12768">
        <w:rPr>
          <w:rFonts w:ascii="Consolas" w:hAnsi="Consolas" w:cs="Consolas"/>
          <w:b/>
          <w:bCs/>
          <w:color w:val="7F0055"/>
          <w:sz w:val="18"/>
          <w:szCs w:val="18"/>
        </w:rPr>
        <w:t>char</w:t>
      </w:r>
      <w:r>
        <w:rPr>
          <w:rFonts w:ascii="Century Gothic" w:hAnsi="Century Gothic"/>
          <w:sz w:val="20"/>
        </w:rPr>
        <w:t>) restituendo come risultato un valore booleano (</w:t>
      </w:r>
      <w:r w:rsidRPr="00B12768">
        <w:rPr>
          <w:rFonts w:ascii="Century Gothic" w:hAnsi="Century Gothic"/>
          <w:i/>
          <w:sz w:val="20"/>
        </w:rPr>
        <w:t>true</w:t>
      </w:r>
      <w:r>
        <w:rPr>
          <w:rFonts w:ascii="Century Gothic" w:hAnsi="Century Gothic"/>
          <w:sz w:val="20"/>
        </w:rPr>
        <w:t xml:space="preserve"> o </w:t>
      </w:r>
      <w:r w:rsidRPr="00B12768">
        <w:rPr>
          <w:rFonts w:ascii="Century Gothic" w:hAnsi="Century Gothic"/>
          <w:i/>
          <w:sz w:val="20"/>
        </w:rPr>
        <w:t>false</w:t>
      </w:r>
      <w:r>
        <w:rPr>
          <w:rFonts w:ascii="Century Gothic" w:hAnsi="Century Gothic"/>
          <w:sz w:val="20"/>
        </w:rPr>
        <w:t>). I tipi di confronti disponibili nel Java con i corrispondenti operatori relazionali sono descritti nella tabella che segue.</w:t>
      </w:r>
    </w:p>
    <w:p w14:paraId="4C0B6401" w14:textId="6C084597" w:rsidR="00B12768" w:rsidRPr="008C4BB1" w:rsidRDefault="00B12768" w:rsidP="008C4BB1">
      <w:pPr>
        <w:autoSpaceDE w:val="0"/>
        <w:autoSpaceDN w:val="0"/>
        <w:adjustRightInd w:val="0"/>
        <w:spacing w:after="0" w:line="240" w:lineRule="auto"/>
        <w:contextualSpacing/>
        <w:rPr>
          <w:rFonts w:ascii="Century Gothic" w:hAnsi="Century Gothic"/>
          <w:sz w:val="10"/>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shd w:val="clear" w:color="auto" w:fill="FFC891"/>
        <w:tblCellMar>
          <w:top w:w="28" w:type="dxa"/>
          <w:left w:w="57" w:type="dxa"/>
          <w:bottom w:w="28" w:type="dxa"/>
          <w:right w:w="57" w:type="dxa"/>
        </w:tblCellMar>
        <w:tblLook w:val="04A0" w:firstRow="1" w:lastRow="0" w:firstColumn="1" w:lastColumn="0" w:noHBand="0" w:noVBand="1"/>
      </w:tblPr>
      <w:tblGrid>
        <w:gridCol w:w="5216"/>
        <w:gridCol w:w="5216"/>
      </w:tblGrid>
      <w:tr w:rsidR="00B12768" w:rsidRPr="00701455" w14:paraId="454E50AC" w14:textId="77777777" w:rsidTr="00701455">
        <w:tc>
          <w:tcPr>
            <w:tcW w:w="5216" w:type="dxa"/>
            <w:shd w:val="clear" w:color="auto" w:fill="FFC891"/>
            <w:tcMar>
              <w:top w:w="28" w:type="dxa"/>
              <w:left w:w="113" w:type="dxa"/>
              <w:bottom w:w="28" w:type="dxa"/>
              <w:right w:w="113" w:type="dxa"/>
            </w:tcMar>
          </w:tcPr>
          <w:p w14:paraId="12294442" w14:textId="03D3DDBF" w:rsidR="00B12768" w:rsidRPr="00701455" w:rsidRDefault="00B12768" w:rsidP="008C4BB1">
            <w:pPr>
              <w:contextualSpacing/>
              <w:jc w:val="both"/>
              <w:rPr>
                <w:rFonts w:ascii="Corbel" w:hAnsi="Corbel"/>
                <w:szCs w:val="20"/>
              </w:rPr>
            </w:pPr>
            <w:r w:rsidRPr="00701455">
              <w:rPr>
                <w:rFonts w:ascii="Corbel" w:hAnsi="Corbel"/>
                <w:szCs w:val="20"/>
              </w:rPr>
              <w:t>Operazione</w:t>
            </w:r>
          </w:p>
        </w:tc>
        <w:tc>
          <w:tcPr>
            <w:tcW w:w="5216" w:type="dxa"/>
            <w:shd w:val="clear" w:color="auto" w:fill="FFC891"/>
            <w:tcMar>
              <w:top w:w="28" w:type="dxa"/>
              <w:left w:w="113" w:type="dxa"/>
              <w:bottom w:w="28" w:type="dxa"/>
              <w:right w:w="113" w:type="dxa"/>
            </w:tcMar>
          </w:tcPr>
          <w:p w14:paraId="542C5F3C" w14:textId="1C63E70A" w:rsidR="00B12768" w:rsidRPr="00701455" w:rsidRDefault="00B12768" w:rsidP="008C4BB1">
            <w:pPr>
              <w:contextualSpacing/>
              <w:jc w:val="both"/>
              <w:rPr>
                <w:rFonts w:ascii="Corbel" w:hAnsi="Corbel"/>
                <w:szCs w:val="20"/>
              </w:rPr>
            </w:pPr>
            <w:r w:rsidRPr="00701455">
              <w:rPr>
                <w:rFonts w:ascii="Corbel" w:hAnsi="Corbel"/>
                <w:szCs w:val="20"/>
              </w:rPr>
              <w:t>Operatore relazionale</w:t>
            </w:r>
          </w:p>
        </w:tc>
      </w:tr>
      <w:tr w:rsidR="00B12768" w:rsidRPr="00701455" w14:paraId="0937ADD2" w14:textId="77777777" w:rsidTr="00701455">
        <w:tc>
          <w:tcPr>
            <w:tcW w:w="5216" w:type="dxa"/>
            <w:shd w:val="clear" w:color="auto" w:fill="FFC891"/>
            <w:tcMar>
              <w:top w:w="28" w:type="dxa"/>
              <w:left w:w="113" w:type="dxa"/>
              <w:bottom w:w="28" w:type="dxa"/>
              <w:right w:w="113" w:type="dxa"/>
            </w:tcMar>
          </w:tcPr>
          <w:p w14:paraId="6879A216" w14:textId="10C501E4" w:rsidR="00B12768" w:rsidRPr="00701455" w:rsidRDefault="00B12768" w:rsidP="008C4BB1">
            <w:pPr>
              <w:contextualSpacing/>
              <w:jc w:val="both"/>
              <w:rPr>
                <w:rFonts w:ascii="Corbel" w:hAnsi="Corbel"/>
                <w:sz w:val="20"/>
                <w:szCs w:val="20"/>
              </w:rPr>
            </w:pPr>
            <w:r w:rsidRPr="00701455">
              <w:rPr>
                <w:rFonts w:ascii="Corbel" w:hAnsi="Corbel"/>
                <w:sz w:val="20"/>
                <w:szCs w:val="20"/>
              </w:rPr>
              <w:t>uguale a</w:t>
            </w:r>
          </w:p>
        </w:tc>
        <w:tc>
          <w:tcPr>
            <w:tcW w:w="5216" w:type="dxa"/>
            <w:shd w:val="clear" w:color="auto" w:fill="FFC891"/>
            <w:tcMar>
              <w:top w:w="28" w:type="dxa"/>
              <w:left w:w="113" w:type="dxa"/>
              <w:bottom w:w="28" w:type="dxa"/>
              <w:right w:w="113" w:type="dxa"/>
            </w:tcMar>
          </w:tcPr>
          <w:p w14:paraId="1D4C0A66" w14:textId="25719CB1" w:rsidR="00B12768" w:rsidRPr="00701455" w:rsidRDefault="00B12768" w:rsidP="008C4BB1">
            <w:pPr>
              <w:contextualSpacing/>
              <w:jc w:val="both"/>
              <w:rPr>
                <w:rFonts w:ascii="Corbel" w:hAnsi="Corbel"/>
                <w:sz w:val="20"/>
                <w:szCs w:val="20"/>
              </w:rPr>
            </w:pPr>
            <m:oMathPara>
              <m:oMathParaPr>
                <m:jc m:val="left"/>
              </m:oMathParaPr>
              <m:oMath>
                <m:r>
                  <w:rPr>
                    <w:rFonts w:ascii="Cambria Math" w:hAnsi="Cambria Math"/>
                    <w:sz w:val="20"/>
                    <w:szCs w:val="20"/>
                  </w:rPr>
                  <m:t>==</m:t>
                </m:r>
              </m:oMath>
            </m:oMathPara>
          </w:p>
        </w:tc>
      </w:tr>
      <w:tr w:rsidR="00B12768" w:rsidRPr="00701455" w14:paraId="3832E9D3" w14:textId="77777777" w:rsidTr="00701455">
        <w:tc>
          <w:tcPr>
            <w:tcW w:w="5216" w:type="dxa"/>
            <w:shd w:val="clear" w:color="auto" w:fill="FFC891"/>
            <w:tcMar>
              <w:top w:w="28" w:type="dxa"/>
              <w:left w:w="113" w:type="dxa"/>
              <w:bottom w:w="28" w:type="dxa"/>
              <w:right w:w="113" w:type="dxa"/>
            </w:tcMar>
          </w:tcPr>
          <w:p w14:paraId="3813FEB2" w14:textId="090F0F9A" w:rsidR="00B12768" w:rsidRPr="00701455" w:rsidRDefault="00B12768" w:rsidP="008C4BB1">
            <w:pPr>
              <w:contextualSpacing/>
              <w:jc w:val="both"/>
              <w:rPr>
                <w:rFonts w:ascii="Corbel" w:hAnsi="Corbel"/>
                <w:sz w:val="20"/>
                <w:szCs w:val="20"/>
              </w:rPr>
            </w:pPr>
            <w:r w:rsidRPr="00701455">
              <w:rPr>
                <w:rFonts w:ascii="Corbel" w:hAnsi="Corbel"/>
                <w:sz w:val="20"/>
                <w:szCs w:val="20"/>
              </w:rPr>
              <w:t>diverso da</w:t>
            </w:r>
          </w:p>
        </w:tc>
        <w:tc>
          <w:tcPr>
            <w:tcW w:w="5216" w:type="dxa"/>
            <w:shd w:val="clear" w:color="auto" w:fill="FFC891"/>
            <w:tcMar>
              <w:top w:w="28" w:type="dxa"/>
              <w:left w:w="113" w:type="dxa"/>
              <w:bottom w:w="28" w:type="dxa"/>
              <w:right w:w="113" w:type="dxa"/>
            </w:tcMar>
          </w:tcPr>
          <w:p w14:paraId="24B11302" w14:textId="34E4B4B9" w:rsidR="00B12768" w:rsidRPr="00701455" w:rsidRDefault="00B12768" w:rsidP="008C4BB1">
            <w:pPr>
              <w:contextualSpacing/>
              <w:jc w:val="both"/>
              <w:rPr>
                <w:rFonts w:ascii="Corbel" w:hAnsi="Corbel"/>
                <w:sz w:val="20"/>
                <w:szCs w:val="20"/>
              </w:rPr>
            </w:pPr>
            <m:oMathPara>
              <m:oMathParaPr>
                <m:jc m:val="left"/>
              </m:oMathParaPr>
              <m:oMath>
                <m:r>
                  <w:rPr>
                    <w:rFonts w:ascii="Cambria Math" w:hAnsi="Cambria Math"/>
                    <w:sz w:val="20"/>
                    <w:szCs w:val="20"/>
                  </w:rPr>
                  <m:t>!=</m:t>
                </m:r>
              </m:oMath>
            </m:oMathPara>
          </w:p>
        </w:tc>
      </w:tr>
      <w:tr w:rsidR="00B12768" w:rsidRPr="00701455" w14:paraId="541745A8" w14:textId="77777777" w:rsidTr="00701455">
        <w:tc>
          <w:tcPr>
            <w:tcW w:w="5216" w:type="dxa"/>
            <w:shd w:val="clear" w:color="auto" w:fill="FFC891"/>
            <w:tcMar>
              <w:top w:w="28" w:type="dxa"/>
              <w:left w:w="113" w:type="dxa"/>
              <w:bottom w:w="28" w:type="dxa"/>
              <w:right w:w="113" w:type="dxa"/>
            </w:tcMar>
          </w:tcPr>
          <w:p w14:paraId="6D3156B9" w14:textId="08FCF01D" w:rsidR="00B12768" w:rsidRPr="00701455" w:rsidRDefault="00B12768" w:rsidP="008C4BB1">
            <w:pPr>
              <w:contextualSpacing/>
              <w:jc w:val="both"/>
              <w:rPr>
                <w:rFonts w:ascii="Corbel" w:hAnsi="Corbel"/>
                <w:sz w:val="20"/>
                <w:szCs w:val="20"/>
              </w:rPr>
            </w:pPr>
            <w:r w:rsidRPr="00701455">
              <w:rPr>
                <w:rFonts w:ascii="Corbel" w:hAnsi="Corbel"/>
                <w:sz w:val="20"/>
                <w:szCs w:val="20"/>
              </w:rPr>
              <w:t>minore</w:t>
            </w:r>
          </w:p>
        </w:tc>
        <w:tc>
          <w:tcPr>
            <w:tcW w:w="5216" w:type="dxa"/>
            <w:shd w:val="clear" w:color="auto" w:fill="FFC891"/>
            <w:tcMar>
              <w:top w:w="28" w:type="dxa"/>
              <w:left w:w="113" w:type="dxa"/>
              <w:bottom w:w="28" w:type="dxa"/>
              <w:right w:w="113" w:type="dxa"/>
            </w:tcMar>
          </w:tcPr>
          <w:p w14:paraId="18D8E6B4" w14:textId="123A00A6" w:rsidR="00B12768" w:rsidRPr="00701455" w:rsidRDefault="00B12768" w:rsidP="008C4BB1">
            <w:pPr>
              <w:contextualSpacing/>
              <w:jc w:val="both"/>
              <w:rPr>
                <w:rFonts w:ascii="Corbel" w:hAnsi="Corbel"/>
                <w:sz w:val="20"/>
                <w:szCs w:val="20"/>
              </w:rPr>
            </w:pPr>
            <m:oMathPara>
              <m:oMathParaPr>
                <m:jc m:val="left"/>
              </m:oMathParaPr>
              <m:oMath>
                <m:r>
                  <w:rPr>
                    <w:rFonts w:ascii="Cambria Math" w:hAnsi="Cambria Math"/>
                    <w:sz w:val="20"/>
                    <w:szCs w:val="20"/>
                  </w:rPr>
                  <m:t>&lt;</m:t>
                </m:r>
              </m:oMath>
            </m:oMathPara>
          </w:p>
        </w:tc>
      </w:tr>
      <w:tr w:rsidR="00B12768" w:rsidRPr="00701455" w14:paraId="038BBD4D" w14:textId="77777777" w:rsidTr="00701455">
        <w:tc>
          <w:tcPr>
            <w:tcW w:w="5216" w:type="dxa"/>
            <w:shd w:val="clear" w:color="auto" w:fill="FFC891"/>
            <w:tcMar>
              <w:top w:w="28" w:type="dxa"/>
              <w:left w:w="113" w:type="dxa"/>
              <w:bottom w:w="28" w:type="dxa"/>
              <w:right w:w="113" w:type="dxa"/>
            </w:tcMar>
          </w:tcPr>
          <w:p w14:paraId="544E30DC" w14:textId="75CDDBA4" w:rsidR="00B12768" w:rsidRPr="00701455" w:rsidRDefault="00B12768" w:rsidP="008C4BB1">
            <w:pPr>
              <w:contextualSpacing/>
              <w:jc w:val="both"/>
              <w:rPr>
                <w:rFonts w:ascii="Corbel" w:hAnsi="Corbel"/>
                <w:sz w:val="20"/>
                <w:szCs w:val="20"/>
              </w:rPr>
            </w:pPr>
            <w:r w:rsidRPr="00701455">
              <w:rPr>
                <w:rFonts w:ascii="Corbel" w:hAnsi="Corbel"/>
                <w:sz w:val="20"/>
                <w:szCs w:val="20"/>
              </w:rPr>
              <w:t>minore o uguale</w:t>
            </w:r>
          </w:p>
        </w:tc>
        <w:tc>
          <w:tcPr>
            <w:tcW w:w="5216" w:type="dxa"/>
            <w:shd w:val="clear" w:color="auto" w:fill="FFC891"/>
            <w:tcMar>
              <w:top w:w="28" w:type="dxa"/>
              <w:left w:w="113" w:type="dxa"/>
              <w:bottom w:w="28" w:type="dxa"/>
              <w:right w:w="113" w:type="dxa"/>
            </w:tcMar>
          </w:tcPr>
          <w:p w14:paraId="56B547AE" w14:textId="345849EE" w:rsidR="00B12768" w:rsidRPr="00701455" w:rsidRDefault="00B12768" w:rsidP="008C4BB1">
            <w:pPr>
              <w:contextualSpacing/>
              <w:jc w:val="both"/>
              <w:rPr>
                <w:rFonts w:ascii="Corbel" w:hAnsi="Corbel"/>
                <w:sz w:val="20"/>
                <w:szCs w:val="20"/>
              </w:rPr>
            </w:pPr>
            <m:oMathPara>
              <m:oMathParaPr>
                <m:jc m:val="left"/>
              </m:oMathParaPr>
              <m:oMath>
                <m:r>
                  <w:rPr>
                    <w:rFonts w:ascii="Cambria Math" w:hAnsi="Cambria Math"/>
                    <w:sz w:val="20"/>
                    <w:szCs w:val="20"/>
                  </w:rPr>
                  <m:t>&lt;=</m:t>
                </m:r>
              </m:oMath>
            </m:oMathPara>
          </w:p>
        </w:tc>
      </w:tr>
      <w:tr w:rsidR="00B12768" w:rsidRPr="00701455" w14:paraId="60821F0E" w14:textId="77777777" w:rsidTr="00701455">
        <w:tc>
          <w:tcPr>
            <w:tcW w:w="5216" w:type="dxa"/>
            <w:shd w:val="clear" w:color="auto" w:fill="FFC891"/>
            <w:tcMar>
              <w:top w:w="28" w:type="dxa"/>
              <w:left w:w="113" w:type="dxa"/>
              <w:bottom w:w="28" w:type="dxa"/>
              <w:right w:w="113" w:type="dxa"/>
            </w:tcMar>
          </w:tcPr>
          <w:p w14:paraId="6885EF22" w14:textId="6DDC5B7C" w:rsidR="00B12768" w:rsidRPr="00701455" w:rsidRDefault="00B12768" w:rsidP="008C4BB1">
            <w:pPr>
              <w:contextualSpacing/>
              <w:jc w:val="both"/>
              <w:rPr>
                <w:rFonts w:ascii="Corbel" w:hAnsi="Corbel"/>
                <w:sz w:val="20"/>
                <w:szCs w:val="20"/>
              </w:rPr>
            </w:pPr>
            <w:r w:rsidRPr="00701455">
              <w:rPr>
                <w:rFonts w:ascii="Corbel" w:hAnsi="Corbel"/>
                <w:sz w:val="20"/>
                <w:szCs w:val="20"/>
              </w:rPr>
              <w:t>maggiore</w:t>
            </w:r>
          </w:p>
        </w:tc>
        <w:tc>
          <w:tcPr>
            <w:tcW w:w="5216" w:type="dxa"/>
            <w:shd w:val="clear" w:color="auto" w:fill="FFC891"/>
            <w:tcMar>
              <w:top w:w="28" w:type="dxa"/>
              <w:left w:w="113" w:type="dxa"/>
              <w:bottom w:w="28" w:type="dxa"/>
              <w:right w:w="113" w:type="dxa"/>
            </w:tcMar>
          </w:tcPr>
          <w:p w14:paraId="7533D513" w14:textId="3EF5060C" w:rsidR="00B12768" w:rsidRPr="00701455" w:rsidRDefault="00B12768" w:rsidP="008C4BB1">
            <w:pPr>
              <w:contextualSpacing/>
              <w:jc w:val="both"/>
              <w:rPr>
                <w:rFonts w:ascii="Corbel" w:hAnsi="Corbel"/>
                <w:sz w:val="20"/>
                <w:szCs w:val="20"/>
              </w:rPr>
            </w:pPr>
            <m:oMathPara>
              <m:oMathParaPr>
                <m:jc m:val="left"/>
              </m:oMathParaPr>
              <m:oMath>
                <m:r>
                  <w:rPr>
                    <w:rFonts w:ascii="Cambria Math" w:hAnsi="Cambria Math"/>
                    <w:sz w:val="20"/>
                    <w:szCs w:val="20"/>
                  </w:rPr>
                  <m:t>&gt;</m:t>
                </m:r>
              </m:oMath>
            </m:oMathPara>
          </w:p>
        </w:tc>
      </w:tr>
      <w:tr w:rsidR="00B12768" w:rsidRPr="00701455" w14:paraId="3E9FB9AC" w14:textId="77777777" w:rsidTr="00701455">
        <w:tc>
          <w:tcPr>
            <w:tcW w:w="5216" w:type="dxa"/>
            <w:shd w:val="clear" w:color="auto" w:fill="FFC891"/>
            <w:tcMar>
              <w:top w:w="28" w:type="dxa"/>
              <w:left w:w="113" w:type="dxa"/>
              <w:bottom w:w="28" w:type="dxa"/>
              <w:right w:w="113" w:type="dxa"/>
            </w:tcMar>
          </w:tcPr>
          <w:p w14:paraId="2D36C96F" w14:textId="74BB176A" w:rsidR="00B12768" w:rsidRPr="00701455" w:rsidRDefault="00B12768" w:rsidP="008C4BB1">
            <w:pPr>
              <w:contextualSpacing/>
              <w:jc w:val="both"/>
              <w:rPr>
                <w:rFonts w:ascii="Corbel" w:hAnsi="Corbel"/>
                <w:sz w:val="20"/>
                <w:szCs w:val="20"/>
              </w:rPr>
            </w:pPr>
            <w:r w:rsidRPr="00701455">
              <w:rPr>
                <w:rFonts w:ascii="Corbel" w:hAnsi="Corbel"/>
                <w:sz w:val="20"/>
                <w:szCs w:val="20"/>
              </w:rPr>
              <w:t>maggiore o uguale</w:t>
            </w:r>
          </w:p>
        </w:tc>
        <w:tc>
          <w:tcPr>
            <w:tcW w:w="5216" w:type="dxa"/>
            <w:shd w:val="clear" w:color="auto" w:fill="FFC891"/>
            <w:tcMar>
              <w:top w:w="28" w:type="dxa"/>
              <w:left w:w="113" w:type="dxa"/>
              <w:bottom w:w="28" w:type="dxa"/>
              <w:right w:w="113" w:type="dxa"/>
            </w:tcMar>
          </w:tcPr>
          <w:p w14:paraId="29DA8151" w14:textId="2ECE44FF" w:rsidR="00B12768" w:rsidRPr="00701455" w:rsidRDefault="00B12768" w:rsidP="008C4BB1">
            <w:pPr>
              <w:contextualSpacing/>
              <w:jc w:val="both"/>
              <w:rPr>
                <w:rFonts w:ascii="Corbel" w:hAnsi="Corbel"/>
                <w:sz w:val="20"/>
                <w:szCs w:val="20"/>
              </w:rPr>
            </w:pPr>
            <m:oMathPara>
              <m:oMathParaPr>
                <m:jc m:val="left"/>
              </m:oMathParaPr>
              <m:oMath>
                <m:r>
                  <w:rPr>
                    <w:rFonts w:ascii="Cambria Math" w:hAnsi="Cambria Math"/>
                    <w:sz w:val="20"/>
                    <w:szCs w:val="20"/>
                  </w:rPr>
                  <m:t>&gt;=</m:t>
                </m:r>
              </m:oMath>
            </m:oMathPara>
          </w:p>
        </w:tc>
      </w:tr>
    </w:tbl>
    <w:p w14:paraId="146299C9" w14:textId="3A39B784" w:rsidR="00B12768" w:rsidRDefault="00B12768" w:rsidP="008C4BB1">
      <w:pPr>
        <w:autoSpaceDE w:val="0"/>
        <w:autoSpaceDN w:val="0"/>
        <w:adjustRightInd w:val="0"/>
        <w:spacing w:after="0" w:line="240" w:lineRule="auto"/>
        <w:contextualSpacing/>
        <w:rPr>
          <w:rFonts w:ascii="Century Gothic" w:hAnsi="Century Gothic"/>
          <w:sz w:val="20"/>
        </w:rPr>
      </w:pPr>
    </w:p>
    <w:p w14:paraId="5342045D" w14:textId="77777777" w:rsidR="00B12768" w:rsidRDefault="00B12768" w:rsidP="008C4BB1">
      <w:pPr>
        <w:autoSpaceDE w:val="0"/>
        <w:autoSpaceDN w:val="0"/>
        <w:adjustRightInd w:val="0"/>
        <w:spacing w:after="0" w:line="240" w:lineRule="auto"/>
        <w:contextualSpacing/>
        <w:rPr>
          <w:rFonts w:ascii="Century Gothic" w:hAnsi="Century Gothic"/>
          <w:sz w:val="20"/>
        </w:rPr>
      </w:pPr>
    </w:p>
    <w:p w14:paraId="714092DA" w14:textId="7F74C3E2" w:rsidR="00B6597A" w:rsidRDefault="00B6597A" w:rsidP="008C4BB1">
      <w:pPr>
        <w:autoSpaceDE w:val="0"/>
        <w:autoSpaceDN w:val="0"/>
        <w:adjustRightInd w:val="0"/>
        <w:spacing w:after="0" w:line="240" w:lineRule="auto"/>
        <w:contextualSpacing/>
        <w:rPr>
          <w:rFonts w:ascii="Century Gothic" w:hAnsi="Century Gothic"/>
          <w:sz w:val="20"/>
        </w:rPr>
      </w:pPr>
    </w:p>
    <w:p w14:paraId="3D8BB3F5" w14:textId="33838569" w:rsidR="00193A26" w:rsidRDefault="00193A26" w:rsidP="008C4BB1">
      <w:pPr>
        <w:autoSpaceDE w:val="0"/>
        <w:autoSpaceDN w:val="0"/>
        <w:adjustRightInd w:val="0"/>
        <w:spacing w:after="0" w:line="240" w:lineRule="auto"/>
        <w:contextualSpacing/>
        <w:rPr>
          <w:rFonts w:ascii="Century Gothic" w:hAnsi="Century Gothic"/>
          <w:sz w:val="20"/>
        </w:rPr>
      </w:pPr>
    </w:p>
    <w:p w14:paraId="57A1EAF4" w14:textId="79BF7C5C" w:rsidR="00193A26" w:rsidRDefault="00193A26" w:rsidP="008C4BB1">
      <w:pPr>
        <w:autoSpaceDE w:val="0"/>
        <w:autoSpaceDN w:val="0"/>
        <w:adjustRightInd w:val="0"/>
        <w:spacing w:after="0" w:line="240" w:lineRule="auto"/>
        <w:contextualSpacing/>
        <w:rPr>
          <w:rFonts w:ascii="Century Gothic" w:hAnsi="Century Gothic"/>
          <w:sz w:val="20"/>
        </w:rPr>
      </w:pPr>
    </w:p>
    <w:p w14:paraId="4212E0F0" w14:textId="694C396B" w:rsidR="00193A26" w:rsidRDefault="00193A26" w:rsidP="008C4BB1">
      <w:pPr>
        <w:autoSpaceDE w:val="0"/>
        <w:autoSpaceDN w:val="0"/>
        <w:adjustRightInd w:val="0"/>
        <w:spacing w:after="0" w:line="240" w:lineRule="auto"/>
        <w:contextualSpacing/>
        <w:rPr>
          <w:rFonts w:ascii="Century Gothic" w:hAnsi="Century Gothic"/>
          <w:sz w:val="20"/>
        </w:rPr>
      </w:pPr>
    </w:p>
    <w:p w14:paraId="2C439CBB" w14:textId="38E08A20" w:rsidR="00193A26" w:rsidRDefault="00193A26" w:rsidP="008C4BB1">
      <w:pPr>
        <w:autoSpaceDE w:val="0"/>
        <w:autoSpaceDN w:val="0"/>
        <w:adjustRightInd w:val="0"/>
        <w:spacing w:after="0" w:line="240" w:lineRule="auto"/>
        <w:contextualSpacing/>
        <w:rPr>
          <w:rFonts w:ascii="Century Gothic" w:hAnsi="Century Gothic"/>
          <w:sz w:val="20"/>
        </w:rPr>
      </w:pPr>
    </w:p>
    <w:p w14:paraId="191FBF73" w14:textId="72005FBD" w:rsidR="00193A26" w:rsidRDefault="00193A26" w:rsidP="008C4BB1">
      <w:pPr>
        <w:autoSpaceDE w:val="0"/>
        <w:autoSpaceDN w:val="0"/>
        <w:adjustRightInd w:val="0"/>
        <w:spacing w:after="0" w:line="240" w:lineRule="auto"/>
        <w:contextualSpacing/>
        <w:rPr>
          <w:rFonts w:ascii="Century Gothic" w:hAnsi="Century Gothic"/>
          <w:sz w:val="20"/>
        </w:rPr>
      </w:pPr>
    </w:p>
    <w:p w14:paraId="1365C202" w14:textId="77777777" w:rsidR="00193A26" w:rsidRDefault="00193A26" w:rsidP="008C4BB1">
      <w:pPr>
        <w:autoSpaceDE w:val="0"/>
        <w:autoSpaceDN w:val="0"/>
        <w:adjustRightInd w:val="0"/>
        <w:spacing w:after="0" w:line="240" w:lineRule="auto"/>
        <w:contextualSpacing/>
        <w:rPr>
          <w:rFonts w:ascii="Century Gothic" w:hAnsi="Century Gothic"/>
          <w:sz w:val="20"/>
        </w:rPr>
      </w:pPr>
    </w:p>
    <w:p w14:paraId="44AF1D1D" w14:textId="0CFCB9CE" w:rsidR="00B6597A" w:rsidRDefault="00B6597A" w:rsidP="008C4BB1">
      <w:pPr>
        <w:autoSpaceDE w:val="0"/>
        <w:autoSpaceDN w:val="0"/>
        <w:adjustRightInd w:val="0"/>
        <w:spacing w:after="0" w:line="240" w:lineRule="auto"/>
        <w:contextualSpacing/>
        <w:rPr>
          <w:rFonts w:ascii="Century Gothic" w:hAnsi="Century Gothic"/>
          <w:sz w:val="20"/>
        </w:rPr>
      </w:pPr>
    </w:p>
    <w:p w14:paraId="5670C643" w14:textId="77777777" w:rsidR="00B6597A" w:rsidRPr="00D049BD" w:rsidRDefault="00B6597A" w:rsidP="008C4BB1">
      <w:pPr>
        <w:autoSpaceDE w:val="0"/>
        <w:autoSpaceDN w:val="0"/>
        <w:adjustRightInd w:val="0"/>
        <w:spacing w:after="0" w:line="240" w:lineRule="auto"/>
        <w:contextualSpacing/>
        <w:rPr>
          <w:rFonts w:ascii="Century Gothic" w:hAnsi="Century Gothic"/>
          <w:sz w:val="20"/>
        </w:rPr>
      </w:pPr>
    </w:p>
    <w:sectPr w:rsidR="00B6597A" w:rsidRPr="00D049BD" w:rsidSect="00702746">
      <w:headerReference w:type="default" r:id="rId8"/>
      <w:footerReference w:type="default" r:id="rId9"/>
      <w:pgSz w:w="11906" w:h="16838"/>
      <w:pgMar w:top="1134" w:right="680" w:bottom="851"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8287B" w14:textId="77777777" w:rsidR="00F94885" w:rsidRDefault="00F94885" w:rsidP="007B48B7">
      <w:pPr>
        <w:spacing w:after="0" w:line="240" w:lineRule="auto"/>
      </w:pPr>
      <w:r>
        <w:separator/>
      </w:r>
    </w:p>
  </w:endnote>
  <w:endnote w:type="continuationSeparator" w:id="0">
    <w:p w14:paraId="4ECFF4CD" w14:textId="77777777" w:rsidR="00F94885" w:rsidRDefault="00F94885" w:rsidP="007B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color w:val="7F7F7F" w:themeColor="text1" w:themeTint="80"/>
        <w:sz w:val="18"/>
        <w:szCs w:val="20"/>
      </w:rPr>
      <w:id w:val="463935226"/>
      <w:docPartObj>
        <w:docPartGallery w:val="Page Numbers (Bottom of Page)"/>
        <w:docPartUnique/>
      </w:docPartObj>
    </w:sdtPr>
    <w:sdtEndPr/>
    <w:sdtContent>
      <w:sdt>
        <w:sdtPr>
          <w:rPr>
            <w:rFonts w:ascii="Century Gothic" w:hAnsi="Century Gothic"/>
            <w:color w:val="7F7F7F" w:themeColor="text1" w:themeTint="80"/>
            <w:sz w:val="18"/>
            <w:szCs w:val="20"/>
          </w:rPr>
          <w:id w:val="1728636285"/>
          <w:docPartObj>
            <w:docPartGallery w:val="Page Numbers (Top of Page)"/>
            <w:docPartUnique/>
          </w:docPartObj>
        </w:sdtPr>
        <w:sdtEndPr/>
        <w:sdtContent>
          <w:p w14:paraId="1880F58D" w14:textId="12D45457" w:rsidR="00907380" w:rsidRPr="00AB4BC2" w:rsidRDefault="00907380" w:rsidP="00E04DAA">
            <w:pPr>
              <w:pStyle w:val="Pidipagina"/>
              <w:tabs>
                <w:tab w:val="clear" w:pos="4819"/>
                <w:tab w:val="clear" w:pos="9638"/>
              </w:tabs>
              <w:jc w:val="center"/>
              <w:rPr>
                <w:rFonts w:ascii="Century Gothic" w:hAnsi="Century Gothic"/>
                <w:color w:val="7F7F7F" w:themeColor="text1" w:themeTint="80"/>
                <w:sz w:val="18"/>
                <w:szCs w:val="20"/>
              </w:rPr>
            </w:pPr>
            <w:r w:rsidRPr="00AB4BC2">
              <w:rPr>
                <w:rFonts w:ascii="Century Gothic" w:hAnsi="Century Gothic"/>
                <w:color w:val="7F7F7F" w:themeColor="text1" w:themeTint="80"/>
                <w:sz w:val="18"/>
                <w:szCs w:val="20"/>
              </w:rPr>
              <w:t xml:space="preserve">Pag.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PAGE</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2</w:t>
            </w:r>
            <w:r w:rsidRPr="00AB4BC2">
              <w:rPr>
                <w:rFonts w:ascii="Century Gothic" w:hAnsi="Century Gothic"/>
                <w:bCs/>
                <w:color w:val="7F7F7F" w:themeColor="text1" w:themeTint="80"/>
                <w:sz w:val="18"/>
                <w:szCs w:val="20"/>
              </w:rPr>
              <w:fldChar w:fldCharType="end"/>
            </w:r>
            <w:r w:rsidRPr="00AB4BC2">
              <w:rPr>
                <w:rFonts w:ascii="Century Gothic" w:hAnsi="Century Gothic"/>
                <w:color w:val="7F7F7F" w:themeColor="text1" w:themeTint="80"/>
                <w:sz w:val="18"/>
                <w:szCs w:val="20"/>
              </w:rPr>
              <w:t xml:space="preserve"> di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NUMPAGES</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3</w:t>
            </w:r>
            <w:r w:rsidRPr="00AB4BC2">
              <w:rPr>
                <w:rFonts w:ascii="Century Gothic" w:hAnsi="Century Gothic"/>
                <w:bCs/>
                <w:color w:val="7F7F7F" w:themeColor="text1" w:themeTint="80"/>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FBAB4" w14:textId="77777777" w:rsidR="00F94885" w:rsidRDefault="00F94885" w:rsidP="007B48B7">
      <w:pPr>
        <w:spacing w:after="0" w:line="240" w:lineRule="auto"/>
      </w:pPr>
      <w:r>
        <w:separator/>
      </w:r>
    </w:p>
  </w:footnote>
  <w:footnote w:type="continuationSeparator" w:id="0">
    <w:p w14:paraId="044F9D79" w14:textId="77777777" w:rsidR="00F94885" w:rsidRDefault="00F94885" w:rsidP="007B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F58B" w14:textId="56740381" w:rsidR="00907380" w:rsidRPr="00425118" w:rsidRDefault="00140867" w:rsidP="00E04DAA">
    <w:pPr>
      <w:pStyle w:val="Intestazione"/>
      <w:tabs>
        <w:tab w:val="clear" w:pos="4819"/>
        <w:tab w:val="clear" w:pos="9638"/>
      </w:tabs>
      <w:jc w:val="center"/>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LE ISTRUZIONI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374D"/>
    <w:multiLevelType w:val="hybridMultilevel"/>
    <w:tmpl w:val="8F9A74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152372"/>
    <w:multiLevelType w:val="hybridMultilevel"/>
    <w:tmpl w:val="2460D1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C51BBA"/>
    <w:multiLevelType w:val="hybridMultilevel"/>
    <w:tmpl w:val="3496A4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205C0A"/>
    <w:multiLevelType w:val="hybridMultilevel"/>
    <w:tmpl w:val="EF1A7F3A"/>
    <w:lvl w:ilvl="0" w:tplc="7E12FEAE">
      <w:numFmt w:val="bullet"/>
      <w:lvlText w:val="−"/>
      <w:lvlJc w:val="left"/>
      <w:pPr>
        <w:ind w:left="720" w:hanging="360"/>
      </w:pPr>
      <w:rPr>
        <w:rFonts w:ascii="Cambria Math" w:eastAsiaTheme="minorHAnsi" w:hAnsi="Cambria Math" w:cstheme="minorBid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1907CB"/>
    <w:multiLevelType w:val="hybridMultilevel"/>
    <w:tmpl w:val="B3983B7C"/>
    <w:lvl w:ilvl="0" w:tplc="0F904216">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3D6E52"/>
    <w:multiLevelType w:val="hybridMultilevel"/>
    <w:tmpl w:val="3ABA590E"/>
    <w:lvl w:ilvl="0" w:tplc="FBC8A9F2">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810902"/>
    <w:multiLevelType w:val="hybridMultilevel"/>
    <w:tmpl w:val="56C8A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806B62"/>
    <w:multiLevelType w:val="hybridMultilevel"/>
    <w:tmpl w:val="A91C30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EDF5383"/>
    <w:multiLevelType w:val="hybridMultilevel"/>
    <w:tmpl w:val="442EE4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05022B"/>
    <w:multiLevelType w:val="hybridMultilevel"/>
    <w:tmpl w:val="D28CF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8326F7"/>
    <w:multiLevelType w:val="hybridMultilevel"/>
    <w:tmpl w:val="1BEEE338"/>
    <w:lvl w:ilvl="0" w:tplc="2A72D83C">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425194"/>
    <w:multiLevelType w:val="hybridMultilevel"/>
    <w:tmpl w:val="E44243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D605121"/>
    <w:multiLevelType w:val="hybridMultilevel"/>
    <w:tmpl w:val="3ABCA3F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3B5052"/>
    <w:multiLevelType w:val="hybridMultilevel"/>
    <w:tmpl w:val="5A9207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6D5F7B"/>
    <w:multiLevelType w:val="hybridMultilevel"/>
    <w:tmpl w:val="9B9412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9A7032"/>
    <w:multiLevelType w:val="hybridMultilevel"/>
    <w:tmpl w:val="DB5636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661BAC"/>
    <w:multiLevelType w:val="hybridMultilevel"/>
    <w:tmpl w:val="7D3E2D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CCA468C"/>
    <w:multiLevelType w:val="hybridMultilevel"/>
    <w:tmpl w:val="088C36F8"/>
    <w:lvl w:ilvl="0" w:tplc="5A88A27C">
      <w:numFmt w:val="bullet"/>
      <w:lvlText w:val="−"/>
      <w:lvlJc w:val="left"/>
      <w:pPr>
        <w:ind w:left="720" w:hanging="360"/>
      </w:pPr>
      <w:rPr>
        <w:rFonts w:ascii="Cambria Math" w:eastAsiaTheme="minorHAnsi" w:hAnsi="Cambria Math" w:cstheme="minorBidi"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FAF6C12"/>
    <w:multiLevelType w:val="hybridMultilevel"/>
    <w:tmpl w:val="6EB8E8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837531"/>
    <w:multiLevelType w:val="hybridMultilevel"/>
    <w:tmpl w:val="D7E277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CE78F1"/>
    <w:multiLevelType w:val="hybridMultilevel"/>
    <w:tmpl w:val="1A521F18"/>
    <w:lvl w:ilvl="0" w:tplc="061E1C10">
      <w:start w:val="1"/>
      <w:numFmt w:val="decimal"/>
      <w:lvlText w:val="%1."/>
      <w:lvlJc w:val="left"/>
      <w:pPr>
        <w:ind w:left="720" w:hanging="360"/>
      </w:pPr>
      <w:rPr>
        <w:rFonts w:ascii="Century Gothic" w:eastAsia="Times New Roman" w:hAnsi="Century Gothic" w:hint="default"/>
        <w:color w:val="595959"/>
        <w:sz w:val="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E244B2"/>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B2C287A"/>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6"/>
  </w:num>
  <w:num w:numId="3">
    <w:abstractNumId w:val="22"/>
  </w:num>
  <w:num w:numId="4">
    <w:abstractNumId w:val="15"/>
  </w:num>
  <w:num w:numId="5">
    <w:abstractNumId w:val="20"/>
  </w:num>
  <w:num w:numId="6">
    <w:abstractNumId w:val="6"/>
  </w:num>
  <w:num w:numId="7">
    <w:abstractNumId w:val="2"/>
  </w:num>
  <w:num w:numId="8">
    <w:abstractNumId w:val="11"/>
  </w:num>
  <w:num w:numId="9">
    <w:abstractNumId w:val="21"/>
  </w:num>
  <w:num w:numId="10">
    <w:abstractNumId w:val="0"/>
  </w:num>
  <w:num w:numId="11">
    <w:abstractNumId w:val="8"/>
  </w:num>
  <w:num w:numId="12">
    <w:abstractNumId w:val="9"/>
  </w:num>
  <w:num w:numId="13">
    <w:abstractNumId w:val="13"/>
  </w:num>
  <w:num w:numId="14">
    <w:abstractNumId w:val="19"/>
  </w:num>
  <w:num w:numId="15">
    <w:abstractNumId w:val="1"/>
  </w:num>
  <w:num w:numId="16">
    <w:abstractNumId w:val="14"/>
  </w:num>
  <w:num w:numId="17">
    <w:abstractNumId w:val="12"/>
  </w:num>
  <w:num w:numId="18">
    <w:abstractNumId w:val="10"/>
  </w:num>
  <w:num w:numId="19">
    <w:abstractNumId w:val="5"/>
  </w:num>
  <w:num w:numId="20">
    <w:abstractNumId w:val="4"/>
  </w:num>
  <w:num w:numId="21">
    <w:abstractNumId w:val="3"/>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2"/>
    <w:rsid w:val="0000134E"/>
    <w:rsid w:val="000111C2"/>
    <w:rsid w:val="0001221E"/>
    <w:rsid w:val="00013C82"/>
    <w:rsid w:val="0001788F"/>
    <w:rsid w:val="000249F5"/>
    <w:rsid w:val="00031056"/>
    <w:rsid w:val="00032A0D"/>
    <w:rsid w:val="000352A4"/>
    <w:rsid w:val="00046A2A"/>
    <w:rsid w:val="00051F44"/>
    <w:rsid w:val="00077DD1"/>
    <w:rsid w:val="00086476"/>
    <w:rsid w:val="00096911"/>
    <w:rsid w:val="000A1BE6"/>
    <w:rsid w:val="000B0998"/>
    <w:rsid w:val="000B21FF"/>
    <w:rsid w:val="000C1EDC"/>
    <w:rsid w:val="000D5FCF"/>
    <w:rsid w:val="0010734D"/>
    <w:rsid w:val="00111E7B"/>
    <w:rsid w:val="001155FE"/>
    <w:rsid w:val="00122EEA"/>
    <w:rsid w:val="00134E22"/>
    <w:rsid w:val="00140867"/>
    <w:rsid w:val="00150C47"/>
    <w:rsid w:val="00151673"/>
    <w:rsid w:val="00152B90"/>
    <w:rsid w:val="00154491"/>
    <w:rsid w:val="0016287D"/>
    <w:rsid w:val="001648A4"/>
    <w:rsid w:val="001660C4"/>
    <w:rsid w:val="0017040B"/>
    <w:rsid w:val="00171FE4"/>
    <w:rsid w:val="001767A5"/>
    <w:rsid w:val="00181799"/>
    <w:rsid w:val="001820C3"/>
    <w:rsid w:val="00193A26"/>
    <w:rsid w:val="001A45B4"/>
    <w:rsid w:val="001D5283"/>
    <w:rsid w:val="001E1C33"/>
    <w:rsid w:val="002009F0"/>
    <w:rsid w:val="002149E3"/>
    <w:rsid w:val="0022052D"/>
    <w:rsid w:val="002206DF"/>
    <w:rsid w:val="0022447A"/>
    <w:rsid w:val="00235427"/>
    <w:rsid w:val="002376B0"/>
    <w:rsid w:val="0024157C"/>
    <w:rsid w:val="002458B0"/>
    <w:rsid w:val="00253EAA"/>
    <w:rsid w:val="00260141"/>
    <w:rsid w:val="00262D5A"/>
    <w:rsid w:val="00267E1A"/>
    <w:rsid w:val="00271F37"/>
    <w:rsid w:val="00273630"/>
    <w:rsid w:val="002767CE"/>
    <w:rsid w:val="00280872"/>
    <w:rsid w:val="0028638D"/>
    <w:rsid w:val="0029334F"/>
    <w:rsid w:val="00295F17"/>
    <w:rsid w:val="002A2ECF"/>
    <w:rsid w:val="002A2F6A"/>
    <w:rsid w:val="002B1418"/>
    <w:rsid w:val="002B1B45"/>
    <w:rsid w:val="002B3C9C"/>
    <w:rsid w:val="002B6169"/>
    <w:rsid w:val="002B6C86"/>
    <w:rsid w:val="002C564C"/>
    <w:rsid w:val="002D16BC"/>
    <w:rsid w:val="002D4EDE"/>
    <w:rsid w:val="002D6926"/>
    <w:rsid w:val="002E0584"/>
    <w:rsid w:val="002E3555"/>
    <w:rsid w:val="002F30D0"/>
    <w:rsid w:val="002F492D"/>
    <w:rsid w:val="00305F23"/>
    <w:rsid w:val="0031252E"/>
    <w:rsid w:val="003175CF"/>
    <w:rsid w:val="00317B82"/>
    <w:rsid w:val="00335B41"/>
    <w:rsid w:val="0033610C"/>
    <w:rsid w:val="00340F5E"/>
    <w:rsid w:val="00352768"/>
    <w:rsid w:val="00354EC7"/>
    <w:rsid w:val="003553F5"/>
    <w:rsid w:val="00360D4E"/>
    <w:rsid w:val="00361C77"/>
    <w:rsid w:val="00373F13"/>
    <w:rsid w:val="00374B3D"/>
    <w:rsid w:val="00380B20"/>
    <w:rsid w:val="00383ED8"/>
    <w:rsid w:val="00397FE4"/>
    <w:rsid w:val="003C3596"/>
    <w:rsid w:val="003C57C4"/>
    <w:rsid w:val="003D77A4"/>
    <w:rsid w:val="003E1C71"/>
    <w:rsid w:val="003E4393"/>
    <w:rsid w:val="003E462D"/>
    <w:rsid w:val="003E7EBE"/>
    <w:rsid w:val="003F433E"/>
    <w:rsid w:val="003F56BF"/>
    <w:rsid w:val="004011BA"/>
    <w:rsid w:val="00412135"/>
    <w:rsid w:val="004221BF"/>
    <w:rsid w:val="00425118"/>
    <w:rsid w:val="00437633"/>
    <w:rsid w:val="0043770D"/>
    <w:rsid w:val="004401F0"/>
    <w:rsid w:val="004436AC"/>
    <w:rsid w:val="004445B4"/>
    <w:rsid w:val="00447058"/>
    <w:rsid w:val="004634D8"/>
    <w:rsid w:val="00471507"/>
    <w:rsid w:val="004763B9"/>
    <w:rsid w:val="0048427E"/>
    <w:rsid w:val="0049703B"/>
    <w:rsid w:val="004A28F2"/>
    <w:rsid w:val="004B0163"/>
    <w:rsid w:val="004D7587"/>
    <w:rsid w:val="004E3BA4"/>
    <w:rsid w:val="004E6664"/>
    <w:rsid w:val="004F0E8E"/>
    <w:rsid w:val="004F5ED9"/>
    <w:rsid w:val="00516229"/>
    <w:rsid w:val="00527DFA"/>
    <w:rsid w:val="00530F10"/>
    <w:rsid w:val="00537C1B"/>
    <w:rsid w:val="00540876"/>
    <w:rsid w:val="00564259"/>
    <w:rsid w:val="00567415"/>
    <w:rsid w:val="00591B71"/>
    <w:rsid w:val="00592F33"/>
    <w:rsid w:val="00594D24"/>
    <w:rsid w:val="005A0986"/>
    <w:rsid w:val="005C4610"/>
    <w:rsid w:val="005D30A0"/>
    <w:rsid w:val="005E1D03"/>
    <w:rsid w:val="005E2F28"/>
    <w:rsid w:val="005E56F8"/>
    <w:rsid w:val="005F400E"/>
    <w:rsid w:val="00604047"/>
    <w:rsid w:val="00610C64"/>
    <w:rsid w:val="00621273"/>
    <w:rsid w:val="00621290"/>
    <w:rsid w:val="0063059E"/>
    <w:rsid w:val="0064317B"/>
    <w:rsid w:val="00673612"/>
    <w:rsid w:val="00685647"/>
    <w:rsid w:val="006901A5"/>
    <w:rsid w:val="00690CB2"/>
    <w:rsid w:val="00691A17"/>
    <w:rsid w:val="0069430E"/>
    <w:rsid w:val="00697BFD"/>
    <w:rsid w:val="006B29A0"/>
    <w:rsid w:val="006B7734"/>
    <w:rsid w:val="006D48CF"/>
    <w:rsid w:val="006D4B00"/>
    <w:rsid w:val="006D5A89"/>
    <w:rsid w:val="006D6798"/>
    <w:rsid w:val="006D6D93"/>
    <w:rsid w:val="006E457B"/>
    <w:rsid w:val="00701455"/>
    <w:rsid w:val="00702746"/>
    <w:rsid w:val="00727B01"/>
    <w:rsid w:val="00730EBB"/>
    <w:rsid w:val="007353A8"/>
    <w:rsid w:val="00737373"/>
    <w:rsid w:val="007501B7"/>
    <w:rsid w:val="00750A3C"/>
    <w:rsid w:val="007529CC"/>
    <w:rsid w:val="00756838"/>
    <w:rsid w:val="00763EAE"/>
    <w:rsid w:val="00772AB9"/>
    <w:rsid w:val="00782809"/>
    <w:rsid w:val="0078352A"/>
    <w:rsid w:val="007878F3"/>
    <w:rsid w:val="00790EA0"/>
    <w:rsid w:val="007931B8"/>
    <w:rsid w:val="0079521E"/>
    <w:rsid w:val="007B00B2"/>
    <w:rsid w:val="007B48B7"/>
    <w:rsid w:val="007B7266"/>
    <w:rsid w:val="007C10FF"/>
    <w:rsid w:val="007C2A36"/>
    <w:rsid w:val="007C4A23"/>
    <w:rsid w:val="007C620D"/>
    <w:rsid w:val="007E26D8"/>
    <w:rsid w:val="007E6D61"/>
    <w:rsid w:val="007F3F59"/>
    <w:rsid w:val="0080022D"/>
    <w:rsid w:val="00811ABB"/>
    <w:rsid w:val="0081235A"/>
    <w:rsid w:val="008365B8"/>
    <w:rsid w:val="00846CCF"/>
    <w:rsid w:val="00856EDA"/>
    <w:rsid w:val="008623EB"/>
    <w:rsid w:val="00871662"/>
    <w:rsid w:val="00881043"/>
    <w:rsid w:val="00883134"/>
    <w:rsid w:val="00891DF9"/>
    <w:rsid w:val="008B1D1C"/>
    <w:rsid w:val="008B4E54"/>
    <w:rsid w:val="008C4BB1"/>
    <w:rsid w:val="008D670A"/>
    <w:rsid w:val="008F1EF3"/>
    <w:rsid w:val="008F4138"/>
    <w:rsid w:val="00900CE8"/>
    <w:rsid w:val="00907380"/>
    <w:rsid w:val="00926066"/>
    <w:rsid w:val="00944054"/>
    <w:rsid w:val="0096028C"/>
    <w:rsid w:val="00962C30"/>
    <w:rsid w:val="00966E25"/>
    <w:rsid w:val="0098494D"/>
    <w:rsid w:val="00995FFC"/>
    <w:rsid w:val="009A34CB"/>
    <w:rsid w:val="009B006C"/>
    <w:rsid w:val="009C02E4"/>
    <w:rsid w:val="009C360D"/>
    <w:rsid w:val="009C6D95"/>
    <w:rsid w:val="009D1ECD"/>
    <w:rsid w:val="009D2DD1"/>
    <w:rsid w:val="009D53CE"/>
    <w:rsid w:val="009E0C85"/>
    <w:rsid w:val="00A01329"/>
    <w:rsid w:val="00A030A7"/>
    <w:rsid w:val="00A168D9"/>
    <w:rsid w:val="00A20285"/>
    <w:rsid w:val="00A21B94"/>
    <w:rsid w:val="00A30744"/>
    <w:rsid w:val="00A31180"/>
    <w:rsid w:val="00A32EE8"/>
    <w:rsid w:val="00A404D1"/>
    <w:rsid w:val="00A56489"/>
    <w:rsid w:val="00A62459"/>
    <w:rsid w:val="00A639FE"/>
    <w:rsid w:val="00A66F47"/>
    <w:rsid w:val="00A7379C"/>
    <w:rsid w:val="00A75B94"/>
    <w:rsid w:val="00A76D93"/>
    <w:rsid w:val="00A827F3"/>
    <w:rsid w:val="00A83D39"/>
    <w:rsid w:val="00AA2048"/>
    <w:rsid w:val="00AA6A18"/>
    <w:rsid w:val="00AB16F4"/>
    <w:rsid w:val="00AB2508"/>
    <w:rsid w:val="00AB4BC2"/>
    <w:rsid w:val="00AB7B4D"/>
    <w:rsid w:val="00AC1DF3"/>
    <w:rsid w:val="00AC3089"/>
    <w:rsid w:val="00AC50DE"/>
    <w:rsid w:val="00AE2AC1"/>
    <w:rsid w:val="00AE7063"/>
    <w:rsid w:val="00B006AB"/>
    <w:rsid w:val="00B0500B"/>
    <w:rsid w:val="00B0505D"/>
    <w:rsid w:val="00B1088E"/>
    <w:rsid w:val="00B113BF"/>
    <w:rsid w:val="00B12768"/>
    <w:rsid w:val="00B16979"/>
    <w:rsid w:val="00B42A5F"/>
    <w:rsid w:val="00B565C1"/>
    <w:rsid w:val="00B6002C"/>
    <w:rsid w:val="00B6597A"/>
    <w:rsid w:val="00B74A87"/>
    <w:rsid w:val="00B758B4"/>
    <w:rsid w:val="00B85AA8"/>
    <w:rsid w:val="00B87F31"/>
    <w:rsid w:val="00B91EE4"/>
    <w:rsid w:val="00B92A2D"/>
    <w:rsid w:val="00BA1707"/>
    <w:rsid w:val="00BB174D"/>
    <w:rsid w:val="00BD0C18"/>
    <w:rsid w:val="00BD2BC0"/>
    <w:rsid w:val="00BE5A98"/>
    <w:rsid w:val="00BF0386"/>
    <w:rsid w:val="00C0057B"/>
    <w:rsid w:val="00C0090E"/>
    <w:rsid w:val="00C04056"/>
    <w:rsid w:val="00C04FAC"/>
    <w:rsid w:val="00C12FF5"/>
    <w:rsid w:val="00C14C24"/>
    <w:rsid w:val="00C15ACB"/>
    <w:rsid w:val="00C16557"/>
    <w:rsid w:val="00C171CE"/>
    <w:rsid w:val="00C172E8"/>
    <w:rsid w:val="00C20866"/>
    <w:rsid w:val="00C278D9"/>
    <w:rsid w:val="00C33285"/>
    <w:rsid w:val="00C42187"/>
    <w:rsid w:val="00C45034"/>
    <w:rsid w:val="00C522F5"/>
    <w:rsid w:val="00C56E4A"/>
    <w:rsid w:val="00C758C8"/>
    <w:rsid w:val="00C80CA1"/>
    <w:rsid w:val="00C8231C"/>
    <w:rsid w:val="00C93C46"/>
    <w:rsid w:val="00C93D9C"/>
    <w:rsid w:val="00C96B9D"/>
    <w:rsid w:val="00C97FE5"/>
    <w:rsid w:val="00CA00D0"/>
    <w:rsid w:val="00CA380E"/>
    <w:rsid w:val="00CA4199"/>
    <w:rsid w:val="00CA5A6D"/>
    <w:rsid w:val="00CB61B3"/>
    <w:rsid w:val="00CC535F"/>
    <w:rsid w:val="00CE63B3"/>
    <w:rsid w:val="00CF564C"/>
    <w:rsid w:val="00D049BD"/>
    <w:rsid w:val="00D20FE2"/>
    <w:rsid w:val="00D244E1"/>
    <w:rsid w:val="00D34CDB"/>
    <w:rsid w:val="00D5311F"/>
    <w:rsid w:val="00D54F7A"/>
    <w:rsid w:val="00D55649"/>
    <w:rsid w:val="00D57DAA"/>
    <w:rsid w:val="00D6104B"/>
    <w:rsid w:val="00D62466"/>
    <w:rsid w:val="00D62468"/>
    <w:rsid w:val="00D90509"/>
    <w:rsid w:val="00D919F4"/>
    <w:rsid w:val="00D97203"/>
    <w:rsid w:val="00DA0583"/>
    <w:rsid w:val="00DA0FD7"/>
    <w:rsid w:val="00DA49A8"/>
    <w:rsid w:val="00DB10D7"/>
    <w:rsid w:val="00DB6ABF"/>
    <w:rsid w:val="00DC794C"/>
    <w:rsid w:val="00DF2DBB"/>
    <w:rsid w:val="00DF7E6B"/>
    <w:rsid w:val="00E01EDB"/>
    <w:rsid w:val="00E0427A"/>
    <w:rsid w:val="00E04DAA"/>
    <w:rsid w:val="00E05481"/>
    <w:rsid w:val="00E13FC7"/>
    <w:rsid w:val="00E15EB6"/>
    <w:rsid w:val="00E27E34"/>
    <w:rsid w:val="00E341F6"/>
    <w:rsid w:val="00E34D16"/>
    <w:rsid w:val="00E416D7"/>
    <w:rsid w:val="00E44DCC"/>
    <w:rsid w:val="00E55B27"/>
    <w:rsid w:val="00E916D7"/>
    <w:rsid w:val="00E976F7"/>
    <w:rsid w:val="00EA0FF3"/>
    <w:rsid w:val="00EA5B92"/>
    <w:rsid w:val="00EB5037"/>
    <w:rsid w:val="00EC0591"/>
    <w:rsid w:val="00ED34D3"/>
    <w:rsid w:val="00ED592D"/>
    <w:rsid w:val="00ED650A"/>
    <w:rsid w:val="00EE1ED8"/>
    <w:rsid w:val="00EE53E8"/>
    <w:rsid w:val="00EE561E"/>
    <w:rsid w:val="00EF472F"/>
    <w:rsid w:val="00EF76F9"/>
    <w:rsid w:val="00F10944"/>
    <w:rsid w:val="00F10ED2"/>
    <w:rsid w:val="00F26922"/>
    <w:rsid w:val="00F31ED7"/>
    <w:rsid w:val="00F32655"/>
    <w:rsid w:val="00F33CF5"/>
    <w:rsid w:val="00F33E67"/>
    <w:rsid w:val="00F43D8F"/>
    <w:rsid w:val="00F45E37"/>
    <w:rsid w:val="00F61775"/>
    <w:rsid w:val="00F62852"/>
    <w:rsid w:val="00F63C7E"/>
    <w:rsid w:val="00F73D53"/>
    <w:rsid w:val="00F74D78"/>
    <w:rsid w:val="00F77E00"/>
    <w:rsid w:val="00F94885"/>
    <w:rsid w:val="00F963D4"/>
    <w:rsid w:val="00FA6024"/>
    <w:rsid w:val="00FB6BE9"/>
    <w:rsid w:val="00FC395B"/>
    <w:rsid w:val="00FD0922"/>
    <w:rsid w:val="00FD3C2A"/>
    <w:rsid w:val="00FF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0F57C"/>
  <w15:chartTrackingRefBased/>
  <w15:docId w15:val="{DE3177DA-989A-46EB-84C8-5553E1E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B7"/>
  </w:style>
  <w:style w:type="paragraph" w:styleId="Pidipagina">
    <w:name w:val="footer"/>
    <w:basedOn w:val="Normale"/>
    <w:link w:val="PidipaginaCarattere"/>
    <w:uiPriority w:val="99"/>
    <w:unhideWhenUsed/>
    <w:rsid w:val="007B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B7"/>
  </w:style>
  <w:style w:type="paragraph" w:styleId="Paragrafoelenco">
    <w:name w:val="List Paragraph"/>
    <w:basedOn w:val="Normale"/>
    <w:uiPriority w:val="34"/>
    <w:qFormat/>
    <w:rsid w:val="007B48B7"/>
    <w:pPr>
      <w:ind w:left="720"/>
      <w:contextualSpacing/>
    </w:pPr>
  </w:style>
  <w:style w:type="character" w:styleId="Testosegnaposto">
    <w:name w:val="Placeholder Text"/>
    <w:basedOn w:val="Carpredefinitoparagrafo"/>
    <w:uiPriority w:val="99"/>
    <w:semiHidden/>
    <w:rsid w:val="00AA6A18"/>
    <w:rPr>
      <w:color w:val="808080"/>
    </w:rPr>
  </w:style>
  <w:style w:type="paragraph" w:styleId="NormaleWeb">
    <w:name w:val="Normal (Web)"/>
    <w:basedOn w:val="Normale"/>
    <w:uiPriority w:val="99"/>
    <w:semiHidden/>
    <w:unhideWhenUsed/>
    <w:rsid w:val="00EE1ED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91B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B71"/>
    <w:rPr>
      <w:rFonts w:ascii="Segoe UI" w:hAnsi="Segoe UI" w:cs="Segoe UI"/>
      <w:sz w:val="18"/>
      <w:szCs w:val="18"/>
    </w:rPr>
  </w:style>
  <w:style w:type="table" w:styleId="Grigliatabella">
    <w:name w:val="Table Grid"/>
    <w:basedOn w:val="Tabellanormale"/>
    <w:uiPriority w:val="39"/>
    <w:rsid w:val="004D7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B9BD5">
            <a:alpha val="0"/>
          </a:srgbClr>
        </a:solidFill>
        <a:ln w="6350" cap="flat" cmpd="sng" algn="ctr">
          <a:solidFill>
            <a:srgbClr val="0070C0"/>
          </a:solidFill>
          <a:prstDash val="solid"/>
          <a:miter lim="800000"/>
        </a:ln>
        <a:effectLst/>
      </a:spPr>
      <a:bodyPr rot="0" spcFirstLastPara="0"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62652-FEA4-40EF-B191-30198634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515</Words>
  <Characters>2939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 Gerardo Giordano</dc:creator>
  <cp:keywords/>
  <dc:description/>
  <cp:lastModifiedBy>Abramo Gerardo Giordano</cp:lastModifiedBy>
  <cp:revision>13</cp:revision>
  <cp:lastPrinted>2019-03-05T12:36:00Z</cp:lastPrinted>
  <dcterms:created xsi:type="dcterms:W3CDTF">2018-10-15T13:41:00Z</dcterms:created>
  <dcterms:modified xsi:type="dcterms:W3CDTF">2020-09-02T15:59:00Z</dcterms:modified>
</cp:coreProperties>
</file>